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mbria" w:hAnsi="Cambria" w:cs="Tahoma"/>
          <w:b/>
          <w:sz w:val="22"/>
          <w:szCs w:val="22"/>
        </w:rPr>
      </w:pPr>
      <w:bookmarkStart w:id="0" w:name="_Hlk141870751"/>
      <w:bookmarkStart w:id="1" w:name="_Hlk141870926"/>
      <w:r w:rsidRPr="00A002D4">
        <w:rPr>
          <w:rFonts w:ascii="Cambria" w:hAnsi="Cambria" w:cs="Tahoma"/>
          <w:b/>
          <w:sz w:val="22"/>
          <w:szCs w:val="22"/>
        </w:rPr>
        <w:t>OPIS PRZEDMIOTU ZAMÓWIENIA I PARAMETRY TECHNICZNE</w:t>
      </w:r>
    </w:p>
    <w:p w14:paraId="5626A90A" w14:textId="44ACD57D" w:rsidR="00FB524B" w:rsidRPr="009920F1" w:rsidRDefault="6FFEBB55" w:rsidP="7B2A3DC1">
      <w:pPr>
        <w:shd w:val="clear" w:color="auto" w:fill="FFFFFF" w:themeFill="background1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mbria" w:hAnsi="Cambria" w:cs="Tahoma"/>
          <w:b/>
          <w:bCs/>
          <w:spacing w:val="-1"/>
          <w:sz w:val="22"/>
          <w:szCs w:val="22"/>
        </w:rPr>
      </w:pPr>
      <w:r w:rsidRPr="7B2A3DC1">
        <w:rPr>
          <w:rFonts w:ascii="Cambria" w:hAnsi="Cambria" w:cs="Tahoma"/>
          <w:b/>
          <w:bCs/>
          <w:i/>
          <w:iCs/>
          <w:sz w:val="22"/>
          <w:szCs w:val="22"/>
        </w:rPr>
        <w:t>Pomp</w:t>
      </w:r>
      <w:r w:rsidR="00B23353">
        <w:rPr>
          <w:rFonts w:ascii="Cambria" w:hAnsi="Cambria" w:cs="Tahoma"/>
          <w:b/>
          <w:bCs/>
          <w:i/>
          <w:iCs/>
          <w:sz w:val="22"/>
          <w:szCs w:val="22"/>
        </w:rPr>
        <w:t>a</w:t>
      </w:r>
      <w:r w:rsidRPr="7B2A3DC1">
        <w:rPr>
          <w:rFonts w:ascii="Cambria" w:hAnsi="Cambria" w:cs="Tahoma"/>
          <w:b/>
          <w:bCs/>
          <w:i/>
          <w:iCs/>
          <w:sz w:val="22"/>
          <w:szCs w:val="22"/>
        </w:rPr>
        <w:t xml:space="preserve"> infuzyjn</w:t>
      </w:r>
      <w:r w:rsidR="00B23353">
        <w:rPr>
          <w:rFonts w:ascii="Cambria" w:hAnsi="Cambria" w:cs="Tahoma"/>
          <w:b/>
          <w:bCs/>
          <w:i/>
          <w:iCs/>
          <w:sz w:val="22"/>
          <w:szCs w:val="22"/>
        </w:rPr>
        <w:t>a</w:t>
      </w:r>
      <w:r w:rsidRPr="7B2A3DC1">
        <w:rPr>
          <w:rFonts w:ascii="Cambria" w:hAnsi="Cambria" w:cs="Tahoma"/>
          <w:b/>
          <w:bCs/>
          <w:i/>
          <w:iCs/>
          <w:sz w:val="22"/>
          <w:szCs w:val="22"/>
        </w:rPr>
        <w:t xml:space="preserve"> </w:t>
      </w:r>
      <w:r w:rsidR="006F6725">
        <w:rPr>
          <w:rFonts w:ascii="Cambria" w:hAnsi="Cambria" w:cs="Tahoma"/>
          <w:b/>
          <w:bCs/>
          <w:i/>
          <w:iCs/>
          <w:sz w:val="22"/>
          <w:szCs w:val="22"/>
        </w:rPr>
        <w:t>objętościowa</w:t>
      </w:r>
      <w:r w:rsidR="006F6725" w:rsidRPr="7B2A3DC1">
        <w:rPr>
          <w:rFonts w:ascii="Cambria" w:hAnsi="Cambria" w:cs="Tahoma"/>
          <w:b/>
          <w:bCs/>
          <w:i/>
          <w:iCs/>
          <w:spacing w:val="-1"/>
          <w:sz w:val="22"/>
          <w:szCs w:val="22"/>
        </w:rPr>
        <w:t xml:space="preserve"> </w:t>
      </w:r>
      <w:r w:rsidR="006D6D3A">
        <w:rPr>
          <w:rFonts w:ascii="Cambria" w:hAnsi="Cambria" w:cs="Tahoma"/>
          <w:b/>
          <w:bCs/>
          <w:i/>
          <w:iCs/>
          <w:spacing w:val="-1"/>
          <w:sz w:val="22"/>
          <w:szCs w:val="22"/>
        </w:rPr>
        <w:t xml:space="preserve">- </w:t>
      </w:r>
      <w:r w:rsidR="00B23353">
        <w:rPr>
          <w:rFonts w:ascii="Cambria" w:hAnsi="Cambria" w:cs="Tahoma"/>
          <w:b/>
          <w:bCs/>
          <w:i/>
          <w:iCs/>
          <w:spacing w:val="-1"/>
          <w:sz w:val="22"/>
          <w:szCs w:val="22"/>
        </w:rPr>
        <w:t>1</w:t>
      </w:r>
      <w:r w:rsidR="009447AB" w:rsidRPr="7B2A3DC1">
        <w:rPr>
          <w:rFonts w:ascii="Cambria" w:hAnsi="Cambria" w:cs="Tahoma"/>
          <w:b/>
          <w:bCs/>
          <w:i/>
          <w:iCs/>
          <w:spacing w:val="-1"/>
          <w:sz w:val="22"/>
          <w:szCs w:val="22"/>
        </w:rPr>
        <w:t xml:space="preserve"> szt.</w:t>
      </w:r>
    </w:p>
    <w:p w14:paraId="10748D09" w14:textId="6B667F18" w:rsidR="005119F3" w:rsidRPr="005C111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mbria" w:hAnsi="Cambria" w:cs="Tahoma"/>
          <w:bCs/>
          <w:spacing w:val="-1"/>
          <w:sz w:val="18"/>
          <w:szCs w:val="18"/>
        </w:rPr>
      </w:pPr>
      <w:r w:rsidRPr="005C1114">
        <w:rPr>
          <w:rFonts w:ascii="Cambria" w:hAnsi="Cambria" w:cs="Tahoma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77777777" w:rsidR="005119F3" w:rsidRPr="005C111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mbria" w:hAnsi="Cambria" w:cs="Tahoma"/>
          <w:bCs/>
          <w:spacing w:val="-1"/>
          <w:sz w:val="18"/>
          <w:szCs w:val="18"/>
        </w:rPr>
      </w:pPr>
      <w:r w:rsidRPr="005C1114">
        <w:rPr>
          <w:rFonts w:ascii="Cambria" w:hAnsi="Cambria" w:cs="Tahoma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5C111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mbria" w:hAnsi="Cambria" w:cs="Tahoma"/>
          <w:bCs/>
          <w:spacing w:val="-1"/>
          <w:sz w:val="18"/>
          <w:szCs w:val="18"/>
        </w:rPr>
      </w:pPr>
      <w:r w:rsidRPr="005C1114">
        <w:rPr>
          <w:rFonts w:ascii="Cambria" w:hAnsi="Cambria" w:cs="Tahoma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77777777" w:rsidR="005119F3" w:rsidRPr="005C111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mbria" w:hAnsi="Cambria" w:cs="Tahoma"/>
          <w:bCs/>
          <w:spacing w:val="-1"/>
          <w:sz w:val="18"/>
          <w:szCs w:val="18"/>
        </w:rPr>
      </w:pPr>
      <w:r w:rsidRPr="005C1114">
        <w:rPr>
          <w:rFonts w:ascii="Cambria" w:hAnsi="Cambria" w:cs="Tahoma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4CF796EE" w14:textId="01F6E19C" w:rsidR="00391526" w:rsidRDefault="00391526"/>
    <w:p w14:paraId="063506AB" w14:textId="77777777" w:rsidR="005119F3" w:rsidRDefault="005119F3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4"/>
        <w:gridCol w:w="4865"/>
        <w:gridCol w:w="1559"/>
        <w:gridCol w:w="2126"/>
      </w:tblGrid>
      <w:tr w:rsidR="00E24705" w:rsidRPr="00950897" w14:paraId="6C09CB48" w14:textId="77777777" w:rsidTr="00F82FC5">
        <w:trPr>
          <w:trHeight w:val="1274"/>
        </w:trPr>
        <w:tc>
          <w:tcPr>
            <w:tcW w:w="664" w:type="dxa"/>
          </w:tcPr>
          <w:p w14:paraId="2ACF8C77" w14:textId="77777777" w:rsidR="005119F3" w:rsidRPr="00F82FC5" w:rsidRDefault="005119F3" w:rsidP="00E24705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2FC5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865" w:type="dxa"/>
          </w:tcPr>
          <w:p w14:paraId="774C7C75" w14:textId="72382571" w:rsidR="005119F3" w:rsidRPr="00F82FC5" w:rsidRDefault="005119F3" w:rsidP="00E24705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2FC5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559" w:type="dxa"/>
          </w:tcPr>
          <w:p w14:paraId="4C4F7C6E" w14:textId="77777777" w:rsidR="005119F3" w:rsidRPr="00F82FC5" w:rsidRDefault="005119F3" w:rsidP="00E24705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2FC5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126" w:type="dxa"/>
          </w:tcPr>
          <w:p w14:paraId="6B1C2730" w14:textId="77777777" w:rsidR="005119F3" w:rsidRPr="00F82FC5" w:rsidRDefault="005119F3" w:rsidP="00E24705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2FC5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F82FC5" w:rsidRDefault="0023501F" w:rsidP="00E247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F82FC5">
              <w:rPr>
                <w:rFonts w:ascii="Calibri" w:hAnsi="Calibri" w:cs="Calibri"/>
                <w:sz w:val="18"/>
                <w:szCs w:val="18"/>
              </w:rPr>
              <w:t>opis</w:t>
            </w:r>
            <w:r w:rsidRPr="00F82FC5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F82FC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F82FC5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E24705" w:rsidRPr="00950897" w14:paraId="01657088" w14:textId="77777777" w:rsidTr="00F82FC5">
        <w:trPr>
          <w:trHeight w:val="265"/>
        </w:trPr>
        <w:tc>
          <w:tcPr>
            <w:tcW w:w="664" w:type="dxa"/>
            <w:shd w:val="clear" w:color="auto" w:fill="BFBFBF" w:themeFill="background1" w:themeFillShade="BF"/>
          </w:tcPr>
          <w:p w14:paraId="4EC87354" w14:textId="77777777" w:rsidR="005119F3" w:rsidRPr="00F82FC5" w:rsidRDefault="005119F3" w:rsidP="00B94B8D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865" w:type="dxa"/>
            <w:shd w:val="clear" w:color="auto" w:fill="BFBFBF" w:themeFill="background1" w:themeFillShade="BF"/>
          </w:tcPr>
          <w:p w14:paraId="7AFD4630" w14:textId="3FAC6DB9" w:rsidR="005119F3" w:rsidRPr="00F82FC5" w:rsidRDefault="00297EC9" w:rsidP="00B94B8D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F82FC5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17A961F" w14:textId="77777777" w:rsidR="005119F3" w:rsidRPr="00F82FC5" w:rsidRDefault="005119F3" w:rsidP="00F82FC5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14:paraId="36DE18AD" w14:textId="77777777" w:rsidR="005119F3" w:rsidRPr="00F82FC5" w:rsidRDefault="005119F3" w:rsidP="00B94B8D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086909" w:rsidRPr="00950897" w14:paraId="28B606C7" w14:textId="77777777" w:rsidTr="00F82FC5">
        <w:trPr>
          <w:trHeight w:val="312"/>
        </w:trPr>
        <w:tc>
          <w:tcPr>
            <w:tcW w:w="664" w:type="dxa"/>
            <w:vAlign w:val="center"/>
          </w:tcPr>
          <w:p w14:paraId="2B9AB00E" w14:textId="77777777" w:rsidR="00DC708D" w:rsidRPr="00F82FC5" w:rsidRDefault="00DC708D" w:rsidP="00F82FC5">
            <w:pPr>
              <w:pStyle w:val="Akapitzlist"/>
              <w:numPr>
                <w:ilvl w:val="0"/>
                <w:numId w:val="3"/>
              </w:numPr>
              <w:tabs>
                <w:tab w:val="left" w:pos="480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20169A2B" w14:textId="77777777" w:rsidR="00DC708D" w:rsidRPr="00F82FC5" w:rsidRDefault="00DC708D" w:rsidP="00F82FC5">
            <w:pPr>
              <w:snapToGrid w:val="0"/>
              <w:spacing w:line="240" w:lineRule="auto"/>
              <w:rPr>
                <w:rFonts w:ascii="Calibri" w:hAnsi="Calibri" w:cs="Calibri"/>
                <w:color w:val="000000"/>
                <w:sz w:val="20"/>
              </w:rPr>
            </w:pPr>
            <w:r w:rsidRPr="00F82FC5">
              <w:rPr>
                <w:rFonts w:ascii="Calibri" w:hAnsi="Calibri" w:cs="Calibri"/>
                <w:color w:val="000000"/>
                <w:sz w:val="20"/>
              </w:rPr>
              <w:t>Możliwość stosowania zestawów infuzyjnych do podaży:</w:t>
            </w:r>
          </w:p>
          <w:p w14:paraId="1E2531C6" w14:textId="77777777" w:rsidR="00DC708D" w:rsidRPr="00F82FC5" w:rsidRDefault="00DC708D" w:rsidP="00D94851">
            <w:pPr>
              <w:numPr>
                <w:ilvl w:val="0"/>
                <w:numId w:val="9"/>
              </w:numPr>
              <w:snapToGrid w:val="0"/>
              <w:spacing w:line="240" w:lineRule="auto"/>
              <w:ind w:left="358" w:hanging="284"/>
              <w:rPr>
                <w:rFonts w:ascii="Calibri" w:hAnsi="Calibri" w:cs="Calibri"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leków standardowych, płynów infuzyjnych i cytostatyków (zestawy nie zawierające ftalanów (DEHP-free) oraz lateksu),</w:t>
            </w:r>
          </w:p>
          <w:p w14:paraId="13F33DB8" w14:textId="77777777" w:rsidR="00DC708D" w:rsidRPr="00F82FC5" w:rsidRDefault="00DC708D" w:rsidP="00D94851">
            <w:pPr>
              <w:numPr>
                <w:ilvl w:val="0"/>
                <w:numId w:val="9"/>
              </w:numPr>
              <w:snapToGrid w:val="0"/>
              <w:spacing w:line="240" w:lineRule="auto"/>
              <w:ind w:left="358" w:hanging="284"/>
              <w:rPr>
                <w:rFonts w:ascii="Calibri" w:hAnsi="Calibri" w:cs="Calibri"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żywienia pozajelitowego i żywienia dojelitowego,</w:t>
            </w:r>
          </w:p>
          <w:p w14:paraId="75936593" w14:textId="77777777" w:rsidR="00DC708D" w:rsidRPr="00F82FC5" w:rsidRDefault="00DC708D" w:rsidP="00D94851">
            <w:pPr>
              <w:numPr>
                <w:ilvl w:val="0"/>
                <w:numId w:val="9"/>
              </w:numPr>
              <w:snapToGrid w:val="0"/>
              <w:spacing w:line="240" w:lineRule="auto"/>
              <w:ind w:left="358" w:hanging="284"/>
              <w:rPr>
                <w:rFonts w:ascii="Calibri" w:hAnsi="Calibri" w:cs="Calibri"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leków światłoczułych,</w:t>
            </w:r>
          </w:p>
          <w:p w14:paraId="6860C7BA" w14:textId="32ACBF46" w:rsidR="00DC708D" w:rsidRPr="00F82FC5" w:rsidRDefault="00DC708D" w:rsidP="00F82FC5">
            <w:pPr>
              <w:numPr>
                <w:ilvl w:val="0"/>
                <w:numId w:val="9"/>
              </w:numPr>
              <w:spacing w:line="240" w:lineRule="auto"/>
              <w:ind w:left="358" w:hanging="284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F82FC5">
              <w:rPr>
                <w:rFonts w:ascii="Calibri" w:hAnsi="Calibri" w:cs="Calibri"/>
                <w:color w:val="000000"/>
                <w:sz w:val="20"/>
              </w:rPr>
              <w:t>krwi i preparatów krwiopochodnych.</w:t>
            </w:r>
          </w:p>
        </w:tc>
        <w:tc>
          <w:tcPr>
            <w:tcW w:w="1559" w:type="dxa"/>
          </w:tcPr>
          <w:p w14:paraId="63DB0A37" w14:textId="23945433" w:rsidR="00DC708D" w:rsidRPr="00F82FC5" w:rsidRDefault="00DC708D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6523C7D4" w14:textId="77777777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11DE15CD" w14:textId="77777777" w:rsidTr="00F82FC5">
        <w:tc>
          <w:tcPr>
            <w:tcW w:w="664" w:type="dxa"/>
          </w:tcPr>
          <w:p w14:paraId="105C2C4E" w14:textId="77777777" w:rsidR="00DC708D" w:rsidRPr="00F82FC5" w:rsidRDefault="00DC708D" w:rsidP="00F82FC5">
            <w:pPr>
              <w:pStyle w:val="Akapitzlist"/>
              <w:numPr>
                <w:ilvl w:val="0"/>
                <w:numId w:val="3"/>
              </w:numPr>
              <w:tabs>
                <w:tab w:val="left" w:pos="480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3B1C5E04" w14:textId="3CDBBDD8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Klawiatura symboliczna i fizyczna (nie wyświetlana na ekranie) klawiatura alfanumeryczna umożliwiająca szybkie i intuicyjne programowanie infuzji oraz obsługę pompy.</w:t>
            </w:r>
          </w:p>
        </w:tc>
        <w:tc>
          <w:tcPr>
            <w:tcW w:w="1559" w:type="dxa"/>
          </w:tcPr>
          <w:p w14:paraId="4A4F8356" w14:textId="73F3C733" w:rsidR="00DC708D" w:rsidRPr="00F82FC5" w:rsidRDefault="00DC708D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676E69CF" w14:textId="77777777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2AF7A2DD" w14:textId="77777777" w:rsidTr="00F82FC5">
        <w:tc>
          <w:tcPr>
            <w:tcW w:w="664" w:type="dxa"/>
          </w:tcPr>
          <w:p w14:paraId="1642FF36" w14:textId="77777777" w:rsidR="00DC708D" w:rsidRPr="00F82FC5" w:rsidRDefault="00DC708D" w:rsidP="00F82FC5">
            <w:pPr>
              <w:pStyle w:val="Akapitzlist"/>
              <w:numPr>
                <w:ilvl w:val="0"/>
                <w:numId w:val="3"/>
              </w:numPr>
              <w:tabs>
                <w:tab w:val="left" w:pos="480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2345687A" w14:textId="34684215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 xml:space="preserve">Mechanizm zabezpieczający przed swobodnym przepływem grawitacyjnym składający się z dwóch elementów – jeden w pompie i </w:t>
            </w:r>
            <w:r w:rsidRPr="00E24705">
              <w:rPr>
                <w:rFonts w:ascii="Calibri" w:hAnsi="Calibri" w:cs="Calibri"/>
                <w:color w:val="000000"/>
                <w:sz w:val="20"/>
              </w:rPr>
              <w:t xml:space="preserve">drugi </w:t>
            </w:r>
            <w:r w:rsidRPr="00E24705">
              <w:rPr>
                <w:rFonts w:ascii="Calibri" w:hAnsi="Calibri" w:cs="Calibri"/>
                <w:sz w:val="20"/>
              </w:rPr>
              <w:t>na zestawie infuzyjnym.</w:t>
            </w:r>
          </w:p>
        </w:tc>
        <w:tc>
          <w:tcPr>
            <w:tcW w:w="1559" w:type="dxa"/>
          </w:tcPr>
          <w:p w14:paraId="38C5CA17" w14:textId="6A2DE756" w:rsidR="00DC708D" w:rsidRPr="00F82FC5" w:rsidRDefault="00DC708D" w:rsidP="00F82FC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16E6AFEC" w14:textId="77777777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36088601" w14:textId="77777777" w:rsidTr="00F82FC5">
        <w:tc>
          <w:tcPr>
            <w:tcW w:w="664" w:type="dxa"/>
          </w:tcPr>
          <w:p w14:paraId="7AB41305" w14:textId="77777777" w:rsidR="00DC708D" w:rsidRPr="00F82FC5" w:rsidRDefault="00DC708D" w:rsidP="00F82FC5">
            <w:pPr>
              <w:pStyle w:val="Akapitzlist"/>
              <w:numPr>
                <w:ilvl w:val="0"/>
                <w:numId w:val="3"/>
              </w:numPr>
              <w:tabs>
                <w:tab w:val="left" w:pos="480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694AB122" w14:textId="2B6CCD21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Możliwość odłączania detektora kropli.</w:t>
            </w:r>
          </w:p>
        </w:tc>
        <w:tc>
          <w:tcPr>
            <w:tcW w:w="1559" w:type="dxa"/>
          </w:tcPr>
          <w:p w14:paraId="717A4B2D" w14:textId="7E10B929" w:rsidR="00DC708D" w:rsidRPr="00F82FC5" w:rsidRDefault="00DC708D" w:rsidP="00F82FC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7BA2F7C7" w14:textId="77777777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573CCCB7" w14:textId="77777777" w:rsidTr="00F82FC5">
        <w:tc>
          <w:tcPr>
            <w:tcW w:w="664" w:type="dxa"/>
          </w:tcPr>
          <w:p w14:paraId="00099FD2" w14:textId="77777777" w:rsidR="00DC708D" w:rsidRPr="00F82FC5" w:rsidRDefault="00DC708D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0C44EB66" w14:textId="739C89E9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Możliwość usunięcia zestawu infuzyjnego z pompy w trybie wyłączonym  z podłączonym i odłączonym zasilaniem zewnętrznym.</w:t>
            </w:r>
          </w:p>
        </w:tc>
        <w:tc>
          <w:tcPr>
            <w:tcW w:w="1559" w:type="dxa"/>
          </w:tcPr>
          <w:p w14:paraId="4B074CB2" w14:textId="415A0E56" w:rsidR="00DC708D" w:rsidRPr="00F82FC5" w:rsidRDefault="00DC708D" w:rsidP="00F82FC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72162956" w14:textId="77777777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6D5ADD8B" w14:textId="77777777" w:rsidTr="00F82FC5">
        <w:tc>
          <w:tcPr>
            <w:tcW w:w="664" w:type="dxa"/>
          </w:tcPr>
          <w:p w14:paraId="56CB7AFA" w14:textId="77777777" w:rsidR="00DC708D" w:rsidRPr="00F82FC5" w:rsidRDefault="00DC708D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5739BEFB" w14:textId="22981509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 xml:space="preserve">Wykrywanie powietrza w zestawie infuzyjnym. </w:t>
            </w:r>
          </w:p>
        </w:tc>
        <w:tc>
          <w:tcPr>
            <w:tcW w:w="1559" w:type="dxa"/>
          </w:tcPr>
          <w:p w14:paraId="5D608E2E" w14:textId="36E4DFE5" w:rsidR="00DC708D" w:rsidRPr="00F82FC5" w:rsidRDefault="00DC708D" w:rsidP="00F82FC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5C3B633C" w14:textId="77777777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13C16430" w14:textId="77777777" w:rsidTr="00F82FC5">
        <w:tc>
          <w:tcPr>
            <w:tcW w:w="664" w:type="dxa"/>
          </w:tcPr>
          <w:p w14:paraId="6B9F8E72" w14:textId="77777777" w:rsidR="00DC708D" w:rsidRPr="00F82FC5" w:rsidRDefault="00DC708D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63289B94" w14:textId="18B023B5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Ekran dotykowy pompy, przyspieszający wybór parametrów.</w:t>
            </w:r>
          </w:p>
        </w:tc>
        <w:tc>
          <w:tcPr>
            <w:tcW w:w="1559" w:type="dxa"/>
          </w:tcPr>
          <w:p w14:paraId="27E579D3" w14:textId="2CD91A28" w:rsidR="00DC708D" w:rsidRPr="00F82FC5" w:rsidRDefault="00DC708D" w:rsidP="00F82FC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297F4D33" w14:textId="77777777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6747B406" w14:textId="77777777" w:rsidTr="00F82FC5">
        <w:tc>
          <w:tcPr>
            <w:tcW w:w="664" w:type="dxa"/>
          </w:tcPr>
          <w:p w14:paraId="430800DF" w14:textId="77777777" w:rsidR="00DC708D" w:rsidRPr="00F82FC5" w:rsidRDefault="00DC708D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25163917" w14:textId="642E7D33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bCs/>
                <w:color w:val="000000"/>
                <w:sz w:val="20"/>
              </w:rPr>
              <w:t>Wszystkie komunikaty w języku polskim.</w:t>
            </w:r>
          </w:p>
        </w:tc>
        <w:tc>
          <w:tcPr>
            <w:tcW w:w="1559" w:type="dxa"/>
          </w:tcPr>
          <w:p w14:paraId="6098E52B" w14:textId="1FCD4713" w:rsidR="00DC708D" w:rsidRPr="00F82FC5" w:rsidRDefault="00DC708D" w:rsidP="00F82FC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649C9D34" w14:textId="77777777" w:rsidR="00DC708D" w:rsidRPr="00F82FC5" w:rsidRDefault="00DC708D" w:rsidP="00DC708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104A0019" w14:textId="77777777" w:rsidTr="00F82FC5">
        <w:tc>
          <w:tcPr>
            <w:tcW w:w="664" w:type="dxa"/>
          </w:tcPr>
          <w:p w14:paraId="0F87AC2E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62E50832" w14:textId="022E5B28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Przekątna ekranu: min.3,2 cala</w:t>
            </w:r>
          </w:p>
        </w:tc>
        <w:tc>
          <w:tcPr>
            <w:tcW w:w="1559" w:type="dxa"/>
          </w:tcPr>
          <w:p w14:paraId="07785BCE" w14:textId="40A1785E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2F66A80E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0737CF43" w14:textId="77777777" w:rsidTr="00F82FC5">
        <w:tc>
          <w:tcPr>
            <w:tcW w:w="664" w:type="dxa"/>
          </w:tcPr>
          <w:p w14:paraId="01F27EDA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4EF91469" w14:textId="0CD53006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Zakres szybkości dozowania od 0,1 do 1200 ml/h.</w:t>
            </w:r>
          </w:p>
        </w:tc>
        <w:tc>
          <w:tcPr>
            <w:tcW w:w="1559" w:type="dxa"/>
          </w:tcPr>
          <w:p w14:paraId="4490E839" w14:textId="0D937C9A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0629A8A7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5A0E122E" w14:textId="77777777" w:rsidTr="00F82FC5">
        <w:tc>
          <w:tcPr>
            <w:tcW w:w="664" w:type="dxa"/>
          </w:tcPr>
          <w:p w14:paraId="0316E07C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1FAEAFCB" w14:textId="3C659AC8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Dokładność infuzji: min. 5%.</w:t>
            </w:r>
          </w:p>
        </w:tc>
        <w:tc>
          <w:tcPr>
            <w:tcW w:w="1559" w:type="dxa"/>
          </w:tcPr>
          <w:p w14:paraId="0B9AC1D0" w14:textId="6E1FDA3D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4B0A027B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5EBF5281" w14:textId="77777777" w:rsidTr="00F82FC5">
        <w:tc>
          <w:tcPr>
            <w:tcW w:w="664" w:type="dxa"/>
          </w:tcPr>
          <w:p w14:paraId="68DC6552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4B39671E" w14:textId="77777777" w:rsidR="00D94851" w:rsidRPr="00E24705" w:rsidRDefault="00D94851" w:rsidP="00D94851">
            <w:pPr>
              <w:snapToGrid w:val="0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Programowanie parametrów infuzji w jednostkach:</w:t>
            </w:r>
          </w:p>
          <w:p w14:paraId="7435CB01" w14:textId="77777777" w:rsidR="00D94851" w:rsidRPr="00E24705" w:rsidRDefault="00D94851" w:rsidP="00D94851">
            <w:pPr>
              <w:numPr>
                <w:ilvl w:val="0"/>
                <w:numId w:val="10"/>
              </w:numPr>
              <w:spacing w:line="240" w:lineRule="auto"/>
              <w:ind w:left="383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ml, L,</w:t>
            </w:r>
          </w:p>
          <w:p w14:paraId="4EB9CEC9" w14:textId="77777777" w:rsidR="00D94851" w:rsidRPr="00E24705" w:rsidRDefault="00D94851" w:rsidP="00D94851">
            <w:pPr>
              <w:numPr>
                <w:ilvl w:val="0"/>
                <w:numId w:val="10"/>
              </w:numPr>
              <w:spacing w:line="240" w:lineRule="auto"/>
              <w:ind w:left="383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ng, μg, mg, g,</w:t>
            </w:r>
          </w:p>
          <w:p w14:paraId="493EE4BD" w14:textId="77777777" w:rsidR="00D94851" w:rsidRPr="00E24705" w:rsidRDefault="00D94851" w:rsidP="00D94851">
            <w:pPr>
              <w:numPr>
                <w:ilvl w:val="0"/>
                <w:numId w:val="10"/>
              </w:numPr>
              <w:spacing w:line="240" w:lineRule="auto"/>
              <w:ind w:left="383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μEq, mEq, Eq,</w:t>
            </w:r>
          </w:p>
          <w:p w14:paraId="0CD9F9D6" w14:textId="77777777" w:rsidR="00D94851" w:rsidRPr="00E24705" w:rsidRDefault="00D94851" w:rsidP="00D94851">
            <w:pPr>
              <w:numPr>
                <w:ilvl w:val="0"/>
                <w:numId w:val="10"/>
              </w:numPr>
              <w:spacing w:line="240" w:lineRule="auto"/>
              <w:ind w:left="383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mlU, IU, kIU,</w:t>
            </w:r>
          </w:p>
          <w:p w14:paraId="21522BAF" w14:textId="77777777" w:rsidR="00D94851" w:rsidRPr="00E24705" w:rsidRDefault="00D94851" w:rsidP="00D94851">
            <w:pPr>
              <w:numPr>
                <w:ilvl w:val="0"/>
                <w:numId w:val="10"/>
              </w:numPr>
              <w:spacing w:line="240" w:lineRule="auto"/>
              <w:ind w:left="383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mIE, IE, kIE,</w:t>
            </w:r>
          </w:p>
          <w:p w14:paraId="6862A11A" w14:textId="77777777" w:rsidR="00D94851" w:rsidRPr="00E24705" w:rsidRDefault="00D94851" w:rsidP="00D94851">
            <w:pPr>
              <w:numPr>
                <w:ilvl w:val="0"/>
                <w:numId w:val="10"/>
              </w:numPr>
              <w:spacing w:line="240" w:lineRule="auto"/>
              <w:ind w:left="383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lastRenderedPageBreak/>
              <w:t>cal, kcal,</w:t>
            </w:r>
          </w:p>
          <w:p w14:paraId="2ACB5C0E" w14:textId="77777777" w:rsidR="00D94851" w:rsidRPr="00E24705" w:rsidRDefault="00D94851" w:rsidP="00D94851">
            <w:pPr>
              <w:numPr>
                <w:ilvl w:val="0"/>
                <w:numId w:val="10"/>
              </w:numPr>
              <w:spacing w:line="240" w:lineRule="auto"/>
              <w:ind w:left="383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J, kJ,</w:t>
            </w:r>
          </w:p>
          <w:p w14:paraId="5697575B" w14:textId="77777777" w:rsidR="00D94851" w:rsidRPr="00E24705" w:rsidRDefault="00D94851" w:rsidP="00D94851">
            <w:pPr>
              <w:numPr>
                <w:ilvl w:val="0"/>
                <w:numId w:val="10"/>
              </w:numPr>
              <w:spacing w:after="60" w:line="240" w:lineRule="auto"/>
              <w:ind w:left="380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 xml:space="preserve">mmol, mol, </w:t>
            </w:r>
          </w:p>
          <w:p w14:paraId="06FF28D6" w14:textId="77777777" w:rsidR="00D94851" w:rsidRPr="00E24705" w:rsidRDefault="00D94851" w:rsidP="00D94851">
            <w:pPr>
              <w:ind w:left="99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z uwzględnieniem wagi pacjenta lub nie,</w:t>
            </w:r>
          </w:p>
          <w:p w14:paraId="05CE4701" w14:textId="77777777" w:rsidR="00D94851" w:rsidRPr="00E24705" w:rsidRDefault="00D94851" w:rsidP="00D94851">
            <w:pPr>
              <w:ind w:left="99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 xml:space="preserve">z uwzględnieniem powierzchni pacjenta lub nie, </w:t>
            </w:r>
          </w:p>
          <w:p w14:paraId="6A27E93B" w14:textId="558699C0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na min, godz., dobę.</w:t>
            </w:r>
          </w:p>
        </w:tc>
        <w:tc>
          <w:tcPr>
            <w:tcW w:w="1559" w:type="dxa"/>
          </w:tcPr>
          <w:p w14:paraId="182B7299" w14:textId="57043C23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126" w:type="dxa"/>
          </w:tcPr>
          <w:p w14:paraId="55D81C37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518999F9" w14:textId="77777777" w:rsidTr="00F82FC5">
        <w:tc>
          <w:tcPr>
            <w:tcW w:w="664" w:type="dxa"/>
          </w:tcPr>
          <w:p w14:paraId="6CCD079C" w14:textId="50BC6033" w:rsidR="00D94851" w:rsidRPr="00F82FC5" w:rsidRDefault="004E618B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zostajew</w:t>
            </w:r>
          </w:p>
        </w:tc>
        <w:tc>
          <w:tcPr>
            <w:tcW w:w="4865" w:type="dxa"/>
            <w:vAlign w:val="center"/>
          </w:tcPr>
          <w:p w14:paraId="27C530EB" w14:textId="77777777" w:rsidR="00D94851" w:rsidRPr="00E24705" w:rsidRDefault="00D94851" w:rsidP="00D94851">
            <w:pPr>
              <w:snapToGrid w:val="0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Tryby dozowania:</w:t>
            </w:r>
          </w:p>
          <w:p w14:paraId="52F27CDD" w14:textId="77777777" w:rsidR="00D94851" w:rsidRPr="00E24705" w:rsidRDefault="00D94851" w:rsidP="00D94851">
            <w:pPr>
              <w:numPr>
                <w:ilvl w:val="0"/>
                <w:numId w:val="11"/>
              </w:numPr>
              <w:snapToGrid w:val="0"/>
              <w:spacing w:line="240" w:lineRule="auto"/>
              <w:ind w:hanging="261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Infuzja ciągła,</w:t>
            </w:r>
          </w:p>
          <w:p w14:paraId="3BAD0DCA" w14:textId="77777777" w:rsidR="00D94851" w:rsidRPr="00E24705" w:rsidRDefault="00D94851" w:rsidP="00D94851">
            <w:pPr>
              <w:numPr>
                <w:ilvl w:val="0"/>
                <w:numId w:val="11"/>
              </w:numPr>
              <w:snapToGrid w:val="0"/>
              <w:spacing w:line="240" w:lineRule="auto"/>
              <w:ind w:hanging="261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Infuzja okresowa (bolusowa),</w:t>
            </w:r>
          </w:p>
          <w:p w14:paraId="78F6E09C" w14:textId="77777777" w:rsidR="00D94851" w:rsidRPr="00E24705" w:rsidRDefault="00D94851" w:rsidP="00D94851">
            <w:pPr>
              <w:numPr>
                <w:ilvl w:val="0"/>
                <w:numId w:val="11"/>
              </w:numPr>
              <w:snapToGrid w:val="0"/>
              <w:spacing w:line="240" w:lineRule="auto"/>
              <w:ind w:hanging="261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Infuzja profilowa (24 kroki infuzji),</w:t>
            </w:r>
          </w:p>
          <w:p w14:paraId="10A9E954" w14:textId="3213C5E5" w:rsidR="00D94851" w:rsidRPr="00F82FC5" w:rsidRDefault="00D94851" w:rsidP="00F82FC5">
            <w:pPr>
              <w:numPr>
                <w:ilvl w:val="0"/>
                <w:numId w:val="11"/>
              </w:numPr>
              <w:snapToGrid w:val="0"/>
              <w:spacing w:line="240" w:lineRule="auto"/>
              <w:ind w:hanging="261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Infuzja TPN (narastanie / utrzymanie / opadanie).</w:t>
            </w:r>
          </w:p>
        </w:tc>
        <w:tc>
          <w:tcPr>
            <w:tcW w:w="1559" w:type="dxa"/>
          </w:tcPr>
          <w:p w14:paraId="61690684" w14:textId="50293FD0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152BEF57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77864418" w14:textId="77777777" w:rsidTr="00F82FC5">
        <w:tc>
          <w:tcPr>
            <w:tcW w:w="664" w:type="dxa"/>
          </w:tcPr>
          <w:p w14:paraId="26E4B63B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3B9BBA88" w14:textId="7AE9C54C" w:rsidR="00D94851" w:rsidRPr="00F82FC5" w:rsidRDefault="00E24705" w:rsidP="00D94851">
            <w:pPr>
              <w:snapToGrid w:val="0"/>
              <w:rPr>
                <w:rFonts w:ascii="Calibri" w:hAnsi="Calibri" w:cs="Calibri"/>
                <w:b/>
                <w:sz w:val="20"/>
              </w:rPr>
            </w:pPr>
            <w:r w:rsidRPr="00F82FC5">
              <w:rPr>
                <w:rFonts w:ascii="Calibri" w:hAnsi="Calibri" w:cs="Calibri"/>
                <w:sz w:val="20"/>
              </w:rPr>
              <w:t>K</w:t>
            </w:r>
            <w:r w:rsidR="00D94851" w:rsidRPr="00F82FC5">
              <w:rPr>
                <w:rFonts w:ascii="Calibri" w:hAnsi="Calibri" w:cs="Calibri"/>
                <w:sz w:val="20"/>
              </w:rPr>
              <w:t xml:space="preserve">olorowy wyświetlacz z możliwością wyświetlenia następujących informacji jednocześnie: </w:t>
            </w:r>
          </w:p>
          <w:p w14:paraId="604FD32A" w14:textId="77777777" w:rsidR="00D94851" w:rsidRPr="00E24705" w:rsidRDefault="00D94851" w:rsidP="00D94851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nazwa leku,</w:t>
            </w:r>
          </w:p>
          <w:p w14:paraId="7164D157" w14:textId="77777777" w:rsidR="00D94851" w:rsidRPr="00E24705" w:rsidRDefault="00D94851" w:rsidP="00D94851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koncentracja leku,</w:t>
            </w:r>
          </w:p>
          <w:p w14:paraId="43BFE3B3" w14:textId="77777777" w:rsidR="00D94851" w:rsidRPr="00E24705" w:rsidRDefault="00D94851" w:rsidP="00D94851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szybkość infuzji,</w:t>
            </w:r>
          </w:p>
          <w:p w14:paraId="338F35DA" w14:textId="77777777" w:rsidR="00D94851" w:rsidRPr="00E24705" w:rsidRDefault="00D94851" w:rsidP="00D94851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informacji, że wartość szybkości infuzji mieści się w zalecanym zakresie lub znajduje się w zakresie limitu miękkiego dolnego lub górnego,</w:t>
            </w:r>
          </w:p>
          <w:p w14:paraId="1811AE49" w14:textId="77777777" w:rsidR="00D94851" w:rsidRPr="00E24705" w:rsidRDefault="00D94851" w:rsidP="00D94851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podana dawka,</w:t>
            </w:r>
          </w:p>
          <w:p w14:paraId="7957E1EF" w14:textId="77777777" w:rsidR="00D94851" w:rsidRPr="00E24705" w:rsidRDefault="00D94851" w:rsidP="00D94851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poziom limitów dla szybkości infuzji,</w:t>
            </w:r>
          </w:p>
          <w:p w14:paraId="3B838F9A" w14:textId="77777777" w:rsidR="00D94851" w:rsidRPr="00E24705" w:rsidRDefault="00D94851" w:rsidP="00D94851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czas do końca dawki w formie graficznej,</w:t>
            </w:r>
          </w:p>
          <w:p w14:paraId="4128D180" w14:textId="77777777" w:rsidR="00D94851" w:rsidRPr="00E24705" w:rsidRDefault="00D94851" w:rsidP="00D94851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kategorii leku wyodrębnionej kolorem,</w:t>
            </w:r>
          </w:p>
          <w:p w14:paraId="55F9EB13" w14:textId="77777777" w:rsidR="00D94851" w:rsidRPr="00E24705" w:rsidRDefault="00D94851" w:rsidP="00D94851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b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stan naładowania akumulatora,</w:t>
            </w:r>
          </w:p>
          <w:p w14:paraId="2F2FC7EE" w14:textId="6FBC0DFE" w:rsidR="00D94851" w:rsidRPr="00F82FC5" w:rsidRDefault="00D94851" w:rsidP="00F82FC5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aktualne ciśnienie w linii pacjenta w formie graficznej.</w:t>
            </w:r>
          </w:p>
        </w:tc>
        <w:tc>
          <w:tcPr>
            <w:tcW w:w="1559" w:type="dxa"/>
          </w:tcPr>
          <w:p w14:paraId="5715CEC6" w14:textId="5981E447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7AAA6F8C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2699A018" w14:textId="77777777" w:rsidTr="00F82FC5">
        <w:tc>
          <w:tcPr>
            <w:tcW w:w="664" w:type="dxa"/>
          </w:tcPr>
          <w:p w14:paraId="74EF3ED5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194A63CC" w14:textId="1C71BE2A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bCs/>
                <w:color w:val="000000"/>
                <w:sz w:val="20"/>
              </w:rPr>
              <w:t>Kolorystyczne wyróżnienie ekranu infuzji do żywienia dojelitowego względem innych realizowanych infuzji.</w:t>
            </w:r>
          </w:p>
        </w:tc>
        <w:tc>
          <w:tcPr>
            <w:tcW w:w="1559" w:type="dxa"/>
          </w:tcPr>
          <w:p w14:paraId="55E34AAC" w14:textId="671F7033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0BB47FDB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6412B703" w14:textId="77777777" w:rsidTr="00F82FC5">
        <w:tc>
          <w:tcPr>
            <w:tcW w:w="664" w:type="dxa"/>
          </w:tcPr>
          <w:p w14:paraId="6E9F80A6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52991285" w14:textId="77777777" w:rsidR="00D94851" w:rsidRPr="00E24705" w:rsidRDefault="00D94851" w:rsidP="00D94851">
            <w:pPr>
              <w:snapToGrid w:val="0"/>
              <w:rPr>
                <w:rFonts w:ascii="Calibri" w:hAnsi="Calibri" w:cs="Calibri"/>
                <w:b/>
                <w:sz w:val="20"/>
              </w:rPr>
            </w:pPr>
            <w:r w:rsidRPr="00E24705">
              <w:rPr>
                <w:rFonts w:ascii="Calibri" w:hAnsi="Calibri" w:cs="Calibri"/>
                <w:sz w:val="20"/>
              </w:rPr>
              <w:t>Programowanie parametrów podaży bolusa oraz bolusa wstępnego (dawki indukcyjnej):</w:t>
            </w:r>
          </w:p>
          <w:p w14:paraId="55685A2C" w14:textId="77777777" w:rsidR="00D94851" w:rsidRPr="00F82FC5" w:rsidRDefault="00D94851" w:rsidP="00F82FC5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color w:val="000000"/>
                <w:sz w:val="20"/>
              </w:rPr>
            </w:pPr>
            <w:r w:rsidRPr="00F82FC5">
              <w:rPr>
                <w:rFonts w:ascii="Calibri" w:hAnsi="Calibri" w:cs="Calibri"/>
                <w:color w:val="000000"/>
                <w:sz w:val="20"/>
              </w:rPr>
              <w:t>objętość / dawka,</w:t>
            </w:r>
          </w:p>
          <w:p w14:paraId="78174887" w14:textId="1F582C5E" w:rsidR="00D94851" w:rsidRPr="00F82FC5" w:rsidRDefault="00D94851" w:rsidP="00F82FC5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color w:val="000000"/>
                <w:sz w:val="20"/>
              </w:rPr>
              <w:t>czas lub szybkość podaży.</w:t>
            </w:r>
          </w:p>
        </w:tc>
        <w:tc>
          <w:tcPr>
            <w:tcW w:w="1559" w:type="dxa"/>
          </w:tcPr>
          <w:p w14:paraId="3046565C" w14:textId="3C2050C2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156BCFE1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4B6353F4" w14:textId="77777777" w:rsidTr="00F82FC5">
        <w:tc>
          <w:tcPr>
            <w:tcW w:w="664" w:type="dxa"/>
          </w:tcPr>
          <w:p w14:paraId="3D03EAD9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460D56A5" w14:textId="77777777" w:rsidR="00D94851" w:rsidRPr="00E2470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 xml:space="preserve">Bolus manualny. </w:t>
            </w:r>
          </w:p>
          <w:p w14:paraId="5A554ADE" w14:textId="0C8ADB5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Bolus automatyczny z zaprogramowaną dawką.</w:t>
            </w:r>
          </w:p>
        </w:tc>
        <w:tc>
          <w:tcPr>
            <w:tcW w:w="1559" w:type="dxa"/>
          </w:tcPr>
          <w:p w14:paraId="1525FDCB" w14:textId="3EC70276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6D8611BC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5CB771B2" w14:textId="77777777" w:rsidTr="00F82FC5">
        <w:tc>
          <w:tcPr>
            <w:tcW w:w="664" w:type="dxa"/>
          </w:tcPr>
          <w:p w14:paraId="41E31193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3F261510" w14:textId="79439C13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Automatyczne zmniejszenie szybkości podaży bolusa, w celu uniknięcia przerwania jego podaży alarmem okluzji.</w:t>
            </w:r>
          </w:p>
        </w:tc>
        <w:tc>
          <w:tcPr>
            <w:tcW w:w="1559" w:type="dxa"/>
          </w:tcPr>
          <w:p w14:paraId="3302DD6E" w14:textId="73B6367D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0FF59DE7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635E1869" w14:textId="77777777" w:rsidTr="00F82FC5">
        <w:tc>
          <w:tcPr>
            <w:tcW w:w="664" w:type="dxa"/>
          </w:tcPr>
          <w:p w14:paraId="04919E26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31C77DD6" w14:textId="77777777" w:rsidR="00D94851" w:rsidRPr="00F82FC5" w:rsidRDefault="00D94851" w:rsidP="00D94851">
            <w:pPr>
              <w:snapToGrid w:val="0"/>
              <w:rPr>
                <w:rFonts w:ascii="Calibri" w:hAnsi="Calibri" w:cs="Calibri"/>
                <w:b/>
                <w:color w:val="000000"/>
                <w:kern w:val="2"/>
                <w:sz w:val="20"/>
              </w:rPr>
            </w:pPr>
            <w:r w:rsidRPr="00F82FC5">
              <w:rPr>
                <w:rFonts w:ascii="Calibri" w:hAnsi="Calibri" w:cs="Calibri"/>
                <w:color w:val="000000"/>
                <w:sz w:val="20"/>
              </w:rPr>
              <w:t>Możliwość wgrania do pompy biblioteki leków złożonej z procedur dozowania zawierających co najmniej:</w:t>
            </w:r>
          </w:p>
          <w:p w14:paraId="4D335B2D" w14:textId="77777777" w:rsidR="00D94851" w:rsidRPr="00F82FC5" w:rsidRDefault="00D94851" w:rsidP="00F82FC5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color w:val="000000"/>
                <w:sz w:val="20"/>
              </w:rPr>
            </w:pPr>
            <w:r w:rsidRPr="00F82FC5">
              <w:rPr>
                <w:rFonts w:ascii="Calibri" w:hAnsi="Calibri" w:cs="Calibri"/>
                <w:color w:val="000000"/>
                <w:sz w:val="20"/>
              </w:rPr>
              <w:t>nazwy leku,</w:t>
            </w:r>
          </w:p>
          <w:p w14:paraId="463D9E6C" w14:textId="7CB542E4" w:rsidR="00D94851" w:rsidRPr="00F82FC5" w:rsidRDefault="00D94851" w:rsidP="00F82FC5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color w:val="000000"/>
                <w:sz w:val="20"/>
              </w:rPr>
            </w:pPr>
            <w:r w:rsidRPr="00F82FC5">
              <w:rPr>
                <w:rFonts w:ascii="Calibri" w:hAnsi="Calibri" w:cs="Calibri"/>
                <w:color w:val="000000"/>
                <w:sz w:val="20"/>
              </w:rPr>
              <w:t>min. 10 koncentracji leku,</w:t>
            </w:r>
          </w:p>
          <w:p w14:paraId="44F35D3E" w14:textId="77777777" w:rsidR="00D94851" w:rsidRPr="00F82FC5" w:rsidRDefault="00D94851" w:rsidP="00F82FC5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color w:val="000000"/>
                <w:sz w:val="20"/>
              </w:rPr>
            </w:pPr>
            <w:r w:rsidRPr="00F82FC5">
              <w:rPr>
                <w:rFonts w:ascii="Calibri" w:hAnsi="Calibri" w:cs="Calibri"/>
                <w:color w:val="000000"/>
                <w:sz w:val="20"/>
              </w:rPr>
              <w:t>szybkości dozowania (dawkowanie),</w:t>
            </w:r>
          </w:p>
          <w:p w14:paraId="474CDC5B" w14:textId="77777777" w:rsidR="00D94851" w:rsidRPr="00F82FC5" w:rsidRDefault="00D94851" w:rsidP="00F82FC5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color w:val="000000"/>
                <w:sz w:val="20"/>
              </w:rPr>
            </w:pPr>
            <w:r w:rsidRPr="00F82FC5">
              <w:rPr>
                <w:rFonts w:ascii="Calibri" w:hAnsi="Calibri" w:cs="Calibri"/>
                <w:color w:val="000000"/>
                <w:sz w:val="20"/>
              </w:rPr>
              <w:t>całkowitej objętości (dawki) infuzji,</w:t>
            </w:r>
          </w:p>
          <w:p w14:paraId="6AAE57D0" w14:textId="77777777" w:rsidR="00D94851" w:rsidRPr="00F82FC5" w:rsidRDefault="00D94851" w:rsidP="00F82FC5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color w:val="000000"/>
                <w:sz w:val="20"/>
              </w:rPr>
            </w:pPr>
            <w:r w:rsidRPr="00F82FC5">
              <w:rPr>
                <w:rFonts w:ascii="Calibri" w:hAnsi="Calibri" w:cs="Calibri"/>
                <w:color w:val="000000"/>
                <w:sz w:val="20"/>
              </w:rPr>
              <w:t>parametrów bolusa, oraz dawki indukcyjnej,</w:t>
            </w:r>
          </w:p>
          <w:p w14:paraId="3D6BAEB7" w14:textId="77777777" w:rsidR="00D94851" w:rsidRPr="00F82FC5" w:rsidRDefault="00D94851" w:rsidP="00F82FC5">
            <w:pPr>
              <w:numPr>
                <w:ilvl w:val="0"/>
                <w:numId w:val="12"/>
              </w:numPr>
              <w:suppressAutoHyphens w:val="0"/>
              <w:spacing w:line="240" w:lineRule="auto"/>
              <w:ind w:left="358" w:hanging="284"/>
              <w:rPr>
                <w:rFonts w:ascii="Calibri" w:hAnsi="Calibri" w:cs="Calibri"/>
                <w:color w:val="000000"/>
                <w:sz w:val="20"/>
              </w:rPr>
            </w:pPr>
            <w:r w:rsidRPr="00F82FC5">
              <w:rPr>
                <w:rFonts w:ascii="Calibri" w:hAnsi="Calibri" w:cs="Calibri"/>
                <w:color w:val="000000"/>
                <w:sz w:val="20"/>
              </w:rPr>
              <w:t>limitów dla wymienionych parametrów infuzji:</w:t>
            </w:r>
          </w:p>
          <w:p w14:paraId="671A6863" w14:textId="77777777" w:rsidR="00D94851" w:rsidRPr="00F82FC5" w:rsidRDefault="00D94851" w:rsidP="00D94851">
            <w:pPr>
              <w:numPr>
                <w:ilvl w:val="1"/>
                <w:numId w:val="14"/>
              </w:numPr>
              <w:snapToGrid w:val="0"/>
              <w:spacing w:line="240" w:lineRule="auto"/>
              <w:rPr>
                <w:rFonts w:ascii="Calibri" w:hAnsi="Calibri" w:cs="Calibri"/>
                <w:b/>
                <w:sz w:val="20"/>
              </w:rPr>
            </w:pPr>
            <w:r w:rsidRPr="00F82FC5">
              <w:rPr>
                <w:rFonts w:ascii="Calibri" w:hAnsi="Calibri" w:cs="Calibri"/>
                <w:sz w:val="20"/>
              </w:rPr>
              <w:t xml:space="preserve">miękkich, ostrzegających o przekroczeniu zalecanych wartości parametrów, </w:t>
            </w:r>
          </w:p>
          <w:p w14:paraId="7B2389DC" w14:textId="77777777" w:rsidR="00D94851" w:rsidRPr="00F82FC5" w:rsidRDefault="00D94851" w:rsidP="00D94851">
            <w:pPr>
              <w:numPr>
                <w:ilvl w:val="1"/>
                <w:numId w:val="14"/>
              </w:numPr>
              <w:snapToGrid w:val="0"/>
              <w:spacing w:line="240" w:lineRule="auto"/>
              <w:rPr>
                <w:rFonts w:ascii="Calibri" w:hAnsi="Calibri" w:cs="Calibri"/>
                <w:b/>
                <w:sz w:val="20"/>
              </w:rPr>
            </w:pPr>
            <w:r w:rsidRPr="00F82FC5">
              <w:rPr>
                <w:rFonts w:ascii="Calibri" w:hAnsi="Calibri" w:cs="Calibri"/>
                <w:sz w:val="20"/>
              </w:rPr>
              <w:t>twardych – blokujących możliwość wprowadzenia wartości spoza ich zakresu.</w:t>
            </w:r>
          </w:p>
          <w:p w14:paraId="1D6CAC58" w14:textId="0634A89C" w:rsidR="00D94851" w:rsidRPr="00F82FC5" w:rsidRDefault="00E24705" w:rsidP="00D94851">
            <w:pPr>
              <w:numPr>
                <w:ilvl w:val="0"/>
                <w:numId w:val="14"/>
              </w:numPr>
              <w:snapToGrid w:val="0"/>
              <w:spacing w:line="240" w:lineRule="auto"/>
              <w:rPr>
                <w:rFonts w:ascii="Calibri" w:hAnsi="Calibri" w:cs="Calibri"/>
                <w:b/>
                <w:sz w:val="20"/>
              </w:rPr>
            </w:pPr>
            <w:r w:rsidRPr="00E24705">
              <w:rPr>
                <w:rFonts w:ascii="Calibri" w:hAnsi="Calibri" w:cs="Calibri"/>
                <w:sz w:val="20"/>
              </w:rPr>
              <w:t>n</w:t>
            </w:r>
            <w:r w:rsidR="00D94851" w:rsidRPr="00F82FC5">
              <w:rPr>
                <w:rFonts w:ascii="Calibri" w:hAnsi="Calibri" w:cs="Calibri"/>
                <w:sz w:val="20"/>
              </w:rPr>
              <w:t>otatki doradczej możliwej do odczytania przed rozpoczęciem infuzji.</w:t>
            </w:r>
          </w:p>
          <w:p w14:paraId="6D1C6357" w14:textId="77777777" w:rsidR="00D94851" w:rsidRPr="00F82FC5" w:rsidRDefault="00D94851" w:rsidP="00D94851">
            <w:pPr>
              <w:snapToGrid w:val="0"/>
              <w:rPr>
                <w:rFonts w:ascii="Calibri" w:hAnsi="Calibri" w:cs="Calibri"/>
                <w:b/>
                <w:sz w:val="20"/>
              </w:rPr>
            </w:pPr>
            <w:r w:rsidRPr="00F82FC5">
              <w:rPr>
                <w:rFonts w:ascii="Calibri" w:hAnsi="Calibri" w:cs="Calibri"/>
                <w:sz w:val="20"/>
              </w:rPr>
              <w:lastRenderedPageBreak/>
              <w:t>Podział biblioteki na osobne grupy dedykowane poszczególnym oddziałom szpitalnym, do 40 oddziałów. Wybór oddziału dostępny w pompie.</w:t>
            </w:r>
          </w:p>
          <w:p w14:paraId="751BE35C" w14:textId="77777777" w:rsidR="00D94851" w:rsidRPr="00F82FC5" w:rsidRDefault="00D94851" w:rsidP="00D94851">
            <w:pPr>
              <w:snapToGrid w:val="0"/>
              <w:rPr>
                <w:rFonts w:ascii="Calibri" w:hAnsi="Calibri" w:cs="Calibri"/>
                <w:b/>
                <w:sz w:val="20"/>
              </w:rPr>
            </w:pPr>
            <w:r w:rsidRPr="00F82FC5">
              <w:rPr>
                <w:rFonts w:ascii="Calibri" w:hAnsi="Calibri" w:cs="Calibri"/>
                <w:sz w:val="20"/>
              </w:rPr>
              <w:t>Podział biblioteki dedykowanej oddziałom na 40 kategorii lekowych.</w:t>
            </w:r>
          </w:p>
          <w:p w14:paraId="616CBB2B" w14:textId="49EE29D9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</w:rPr>
              <w:t xml:space="preserve">Pojemność biblioteki min. </w:t>
            </w:r>
            <w:r w:rsidRPr="00F82FC5">
              <w:rPr>
                <w:rFonts w:ascii="Calibri" w:hAnsi="Calibri" w:cs="Calibri"/>
                <w:color w:val="000000"/>
                <w:sz w:val="20"/>
              </w:rPr>
              <w:t>4000</w:t>
            </w:r>
            <w:r w:rsidRPr="00F82FC5">
              <w:rPr>
                <w:rFonts w:ascii="Calibri" w:hAnsi="Calibri" w:cs="Calibri"/>
                <w:sz w:val="20"/>
              </w:rPr>
              <w:t xml:space="preserve"> procedur dozowania leków.</w:t>
            </w:r>
          </w:p>
        </w:tc>
        <w:tc>
          <w:tcPr>
            <w:tcW w:w="1559" w:type="dxa"/>
          </w:tcPr>
          <w:p w14:paraId="235556A3" w14:textId="30556082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126" w:type="dxa"/>
          </w:tcPr>
          <w:p w14:paraId="1BE961EA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6CFE5E2C" w14:textId="77777777" w:rsidTr="00F82FC5">
        <w:tc>
          <w:tcPr>
            <w:tcW w:w="664" w:type="dxa"/>
          </w:tcPr>
          <w:p w14:paraId="2BDB5C26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</w:tcPr>
          <w:p w14:paraId="196AD5C7" w14:textId="50C83330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Zabezpieczenie przed gwałtowną zmianą szybkości w trakcie trwania infuzji (miareczkowanie).</w:t>
            </w:r>
          </w:p>
        </w:tc>
        <w:tc>
          <w:tcPr>
            <w:tcW w:w="1559" w:type="dxa"/>
          </w:tcPr>
          <w:p w14:paraId="32980112" w14:textId="566421E2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0C6DD7D9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2C2DB8AC" w14:textId="77777777" w:rsidTr="00F82FC5">
        <w:tc>
          <w:tcPr>
            <w:tcW w:w="664" w:type="dxa"/>
          </w:tcPr>
          <w:p w14:paraId="756F9C9E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55D8431F" w14:textId="2B608B9C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Napisy na wyświetlaczu w języku polskim.</w:t>
            </w:r>
          </w:p>
        </w:tc>
        <w:tc>
          <w:tcPr>
            <w:tcW w:w="1559" w:type="dxa"/>
          </w:tcPr>
          <w:p w14:paraId="6493E17D" w14:textId="5A74BFF4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183E6176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6FB7D9BD" w14:textId="77777777" w:rsidTr="00F82FC5">
        <w:tc>
          <w:tcPr>
            <w:tcW w:w="664" w:type="dxa"/>
          </w:tcPr>
          <w:p w14:paraId="711258ED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67EA7002" w14:textId="2575BA83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bCs/>
                <w:sz w:val="20"/>
              </w:rPr>
              <w:t>Regulowane progi ciśnienia okluzji, min. 12 poziomów.</w:t>
            </w:r>
          </w:p>
        </w:tc>
        <w:tc>
          <w:tcPr>
            <w:tcW w:w="1559" w:type="dxa"/>
          </w:tcPr>
          <w:p w14:paraId="27D7FCEE" w14:textId="4BF4E036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240F0823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48FEA8B1" w14:textId="77777777" w:rsidTr="00F82FC5">
        <w:tc>
          <w:tcPr>
            <w:tcW w:w="664" w:type="dxa"/>
          </w:tcPr>
          <w:p w14:paraId="7B291C3F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732D8F00" w14:textId="5238D550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bCs/>
                <w:sz w:val="20"/>
              </w:rPr>
              <w:t>Progi ciśnienia regulowane, w zakresie od 75 do 900 mmHg.</w:t>
            </w:r>
          </w:p>
        </w:tc>
        <w:tc>
          <w:tcPr>
            <w:tcW w:w="1559" w:type="dxa"/>
          </w:tcPr>
          <w:p w14:paraId="35D3E56B" w14:textId="0C4A5907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1D14FB70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223382D9" w14:textId="77777777" w:rsidTr="00F82FC5">
        <w:tc>
          <w:tcPr>
            <w:tcW w:w="664" w:type="dxa"/>
          </w:tcPr>
          <w:p w14:paraId="6C9A6032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79694C75" w14:textId="6054ACF0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Zmiana progu ciśnienia okluzji bez przerywania infuzji.</w:t>
            </w:r>
          </w:p>
        </w:tc>
        <w:tc>
          <w:tcPr>
            <w:tcW w:w="1559" w:type="dxa"/>
          </w:tcPr>
          <w:p w14:paraId="57A70CBA" w14:textId="1B461A1E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3EA02EE3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1DF6A404" w14:textId="77777777" w:rsidTr="00F82FC5">
        <w:tc>
          <w:tcPr>
            <w:tcW w:w="664" w:type="dxa"/>
          </w:tcPr>
          <w:p w14:paraId="2D2F8424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12ED3398" w14:textId="2B7B6BD3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Automatyczna redukcja bolusa okluzyjnego.</w:t>
            </w:r>
          </w:p>
        </w:tc>
        <w:tc>
          <w:tcPr>
            <w:tcW w:w="1559" w:type="dxa"/>
          </w:tcPr>
          <w:p w14:paraId="30E111E1" w14:textId="6B64A9B1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4577BF67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7C252665" w14:textId="77777777" w:rsidTr="00F82FC5">
        <w:tc>
          <w:tcPr>
            <w:tcW w:w="664" w:type="dxa"/>
          </w:tcPr>
          <w:p w14:paraId="19FEFFE0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66AB06B8" w14:textId="38E44210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Priorytetowy system alarmów, zapewniający zróżnicowany sygnał dźwiękowy i świetlny, zależnie od stopnia zagrożenia.</w:t>
            </w:r>
          </w:p>
        </w:tc>
        <w:tc>
          <w:tcPr>
            <w:tcW w:w="1559" w:type="dxa"/>
          </w:tcPr>
          <w:p w14:paraId="4A2DB296" w14:textId="0FCEDF5E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5628F3FD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79FE66AA" w14:textId="77777777" w:rsidTr="00F82FC5">
        <w:tc>
          <w:tcPr>
            <w:tcW w:w="664" w:type="dxa"/>
          </w:tcPr>
          <w:p w14:paraId="6CBEA96E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6976E55B" w14:textId="27C7336F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Dostępność polskojęzycznego oprogramowania komputerowego do tworzenia i przesyłania do pompy biblioteki leków.</w:t>
            </w:r>
          </w:p>
        </w:tc>
        <w:tc>
          <w:tcPr>
            <w:tcW w:w="1559" w:type="dxa"/>
          </w:tcPr>
          <w:p w14:paraId="1149D2C4" w14:textId="0E5BDA90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58276299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209D1A91" w14:textId="77777777" w:rsidTr="00F82FC5">
        <w:tc>
          <w:tcPr>
            <w:tcW w:w="664" w:type="dxa"/>
          </w:tcPr>
          <w:p w14:paraId="199AD69B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2C95C712" w14:textId="77777777" w:rsidR="00D94851" w:rsidRPr="00E24705" w:rsidRDefault="00D94851" w:rsidP="00D94851">
            <w:pPr>
              <w:snapToGrid w:val="0"/>
              <w:rPr>
                <w:rFonts w:ascii="Calibri" w:hAnsi="Calibri" w:cs="Calibri"/>
                <w:b/>
                <w:sz w:val="20"/>
              </w:rPr>
            </w:pPr>
            <w:r w:rsidRPr="00E24705">
              <w:rPr>
                <w:rFonts w:ascii="Calibri" w:hAnsi="Calibri" w:cs="Calibri"/>
                <w:sz w:val="20"/>
              </w:rPr>
              <w:t>Możliwość instalacji pompy w stacji dokującej:</w:t>
            </w:r>
          </w:p>
          <w:p w14:paraId="0902D309" w14:textId="77777777" w:rsidR="00D94851" w:rsidRPr="00E24705" w:rsidRDefault="00D94851" w:rsidP="00D94851">
            <w:pPr>
              <w:numPr>
                <w:ilvl w:val="0"/>
                <w:numId w:val="15"/>
              </w:numPr>
              <w:spacing w:line="240" w:lineRule="auto"/>
              <w:ind w:left="358" w:hanging="284"/>
              <w:rPr>
                <w:rFonts w:ascii="Calibri" w:hAnsi="Calibri" w:cs="Calibri"/>
                <w:b/>
                <w:sz w:val="20"/>
              </w:rPr>
            </w:pPr>
            <w:r w:rsidRPr="00E24705">
              <w:rPr>
                <w:rFonts w:ascii="Calibri" w:hAnsi="Calibri" w:cs="Calibri"/>
                <w:sz w:val="20"/>
              </w:rPr>
              <w:t>zatrzaskowe mocowanie z automatyczną blokadą, bez konieczności przykręcania,</w:t>
            </w:r>
          </w:p>
          <w:p w14:paraId="4C66BD69" w14:textId="77777777" w:rsidR="00D94851" w:rsidRPr="00E24705" w:rsidRDefault="00D94851" w:rsidP="00D94851">
            <w:pPr>
              <w:numPr>
                <w:ilvl w:val="0"/>
                <w:numId w:val="15"/>
              </w:numPr>
              <w:spacing w:line="240" w:lineRule="auto"/>
              <w:ind w:left="358" w:hanging="284"/>
              <w:rPr>
                <w:rFonts w:ascii="Calibri" w:hAnsi="Calibri" w:cs="Calibri"/>
                <w:b/>
                <w:sz w:val="20"/>
              </w:rPr>
            </w:pPr>
            <w:r w:rsidRPr="00E24705">
              <w:rPr>
                <w:rFonts w:ascii="Calibri" w:hAnsi="Calibri" w:cs="Calibri"/>
                <w:sz w:val="20"/>
              </w:rPr>
              <w:t>alarm nieprawidłowego mocowania,</w:t>
            </w:r>
          </w:p>
          <w:p w14:paraId="1C7D4761" w14:textId="77777777" w:rsidR="00D94851" w:rsidRPr="00E24705" w:rsidRDefault="00D94851" w:rsidP="00D94851">
            <w:pPr>
              <w:numPr>
                <w:ilvl w:val="0"/>
                <w:numId w:val="15"/>
              </w:numPr>
              <w:spacing w:line="240" w:lineRule="auto"/>
              <w:ind w:left="358" w:hanging="284"/>
              <w:rPr>
                <w:rFonts w:ascii="Calibri" w:hAnsi="Calibri" w:cs="Calibri"/>
                <w:b/>
                <w:sz w:val="20"/>
              </w:rPr>
            </w:pPr>
            <w:r w:rsidRPr="00E24705">
              <w:rPr>
                <w:rFonts w:ascii="Calibri" w:hAnsi="Calibri" w:cs="Calibri"/>
                <w:sz w:val="20"/>
              </w:rPr>
              <w:t xml:space="preserve">pompy mocowane niezależnie, jedna nad drugą, </w:t>
            </w:r>
          </w:p>
          <w:p w14:paraId="0D280CBD" w14:textId="77777777" w:rsidR="00D94851" w:rsidRPr="00E24705" w:rsidRDefault="00D94851" w:rsidP="00D94851">
            <w:pPr>
              <w:numPr>
                <w:ilvl w:val="0"/>
                <w:numId w:val="15"/>
              </w:numPr>
              <w:spacing w:line="240" w:lineRule="auto"/>
              <w:ind w:left="358" w:hanging="284"/>
              <w:rPr>
                <w:rFonts w:ascii="Calibri" w:hAnsi="Calibri" w:cs="Calibri"/>
                <w:b/>
                <w:sz w:val="20"/>
              </w:rPr>
            </w:pPr>
            <w:r w:rsidRPr="00E24705">
              <w:rPr>
                <w:rFonts w:ascii="Calibri" w:hAnsi="Calibri" w:cs="Calibri"/>
                <w:sz w:val="20"/>
              </w:rPr>
              <w:t>automatyczne przyłączenie zasilania ze stacji dokującej,</w:t>
            </w:r>
          </w:p>
          <w:p w14:paraId="547D607D" w14:textId="77777777" w:rsidR="00D94851" w:rsidRPr="00E24705" w:rsidRDefault="00D94851" w:rsidP="00D94851">
            <w:pPr>
              <w:numPr>
                <w:ilvl w:val="0"/>
                <w:numId w:val="15"/>
              </w:numPr>
              <w:spacing w:line="240" w:lineRule="auto"/>
              <w:ind w:left="358" w:hanging="284"/>
              <w:rPr>
                <w:rFonts w:ascii="Calibri" w:hAnsi="Calibri" w:cs="Calibri"/>
                <w:b/>
                <w:sz w:val="20"/>
              </w:rPr>
            </w:pPr>
            <w:r w:rsidRPr="00E24705">
              <w:rPr>
                <w:rFonts w:ascii="Calibri" w:hAnsi="Calibri" w:cs="Calibri"/>
                <w:sz w:val="20"/>
              </w:rPr>
              <w:t>automatyczne przyłączenie portu komunikacyjnego ze stacji dokującej,</w:t>
            </w:r>
          </w:p>
          <w:p w14:paraId="6427C7E1" w14:textId="68EB6D3B" w:rsidR="00D94851" w:rsidRPr="00F82FC5" w:rsidRDefault="00D94851" w:rsidP="00F82FC5">
            <w:pPr>
              <w:numPr>
                <w:ilvl w:val="0"/>
                <w:numId w:val="15"/>
              </w:numPr>
              <w:spacing w:line="240" w:lineRule="auto"/>
              <w:ind w:left="358" w:hanging="284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 xml:space="preserve">świetlna sygnalizacja stanu pomp: infuzja, alarm, </w:t>
            </w:r>
            <w:r w:rsidRPr="00F82FC5">
              <w:rPr>
                <w:rFonts w:ascii="Calibri" w:hAnsi="Calibri" w:cs="Calibri"/>
                <w:sz w:val="20"/>
              </w:rPr>
              <w:t>STOP.</w:t>
            </w:r>
          </w:p>
        </w:tc>
        <w:tc>
          <w:tcPr>
            <w:tcW w:w="1559" w:type="dxa"/>
          </w:tcPr>
          <w:p w14:paraId="652BFF31" w14:textId="4C834629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63E9EFB0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23E50406" w14:textId="77777777" w:rsidTr="00F82FC5">
        <w:tc>
          <w:tcPr>
            <w:tcW w:w="664" w:type="dxa"/>
          </w:tcPr>
          <w:p w14:paraId="4610E82B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11A79C01" w14:textId="2ACA57C3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bCs/>
                <w:sz w:val="20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  <w:tc>
          <w:tcPr>
            <w:tcW w:w="1559" w:type="dxa"/>
          </w:tcPr>
          <w:p w14:paraId="661898CB" w14:textId="63278083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58AA9A0F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543E6697" w14:textId="77777777" w:rsidTr="00F82FC5">
        <w:tc>
          <w:tcPr>
            <w:tcW w:w="664" w:type="dxa"/>
          </w:tcPr>
          <w:p w14:paraId="23D8141A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3387EC95" w14:textId="2F9599D3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  <w:tc>
          <w:tcPr>
            <w:tcW w:w="1559" w:type="dxa"/>
          </w:tcPr>
          <w:p w14:paraId="008BE062" w14:textId="7D7A17D3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112BB153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531F3F6A" w14:textId="77777777" w:rsidTr="00F82FC5">
        <w:tc>
          <w:tcPr>
            <w:tcW w:w="664" w:type="dxa"/>
          </w:tcPr>
          <w:p w14:paraId="78F27EFD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09FEA70D" w14:textId="193B0028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bCs/>
                <w:sz w:val="20"/>
              </w:rPr>
              <w:t>Uchwyt do przenoszenia pompy na stałe związany z pompą, niewymagający odłączania przy mocowaniu pomp w stacjach dokujących.</w:t>
            </w:r>
          </w:p>
        </w:tc>
        <w:tc>
          <w:tcPr>
            <w:tcW w:w="1559" w:type="dxa"/>
          </w:tcPr>
          <w:p w14:paraId="095B4A02" w14:textId="4FF0EB9E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0E32EF9E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596224DC" w14:textId="77777777" w:rsidTr="00F82FC5">
        <w:tc>
          <w:tcPr>
            <w:tcW w:w="664" w:type="dxa"/>
          </w:tcPr>
          <w:p w14:paraId="70D09621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0D1C5AEA" w14:textId="0781C378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Możliwość komunikacji pomp umieszczonych w stacjach dokujących wyposażonych w interface LAN z oprogramowaniem zewnętrznym.</w:t>
            </w:r>
          </w:p>
        </w:tc>
        <w:tc>
          <w:tcPr>
            <w:tcW w:w="1559" w:type="dxa"/>
          </w:tcPr>
          <w:p w14:paraId="13D87E47" w14:textId="688BF0E0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73713744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664140F3" w14:textId="77777777" w:rsidTr="00F82FC5">
        <w:tc>
          <w:tcPr>
            <w:tcW w:w="664" w:type="dxa"/>
          </w:tcPr>
          <w:p w14:paraId="252D0130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4A934C2E" w14:textId="18348A45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color w:val="000000"/>
                <w:sz w:val="20"/>
              </w:rPr>
              <w:t>Historia infuzji – możliwość zapamiętania min. 2000 pełnych infuzji.</w:t>
            </w:r>
          </w:p>
        </w:tc>
        <w:tc>
          <w:tcPr>
            <w:tcW w:w="1559" w:type="dxa"/>
          </w:tcPr>
          <w:p w14:paraId="0FDE4DF7" w14:textId="5BA4B177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5E61BA9F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4C9C23C9" w14:textId="77777777" w:rsidTr="00F82FC5">
        <w:tc>
          <w:tcPr>
            <w:tcW w:w="664" w:type="dxa"/>
          </w:tcPr>
          <w:p w14:paraId="70658649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01DDA0D3" w14:textId="68A620B6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 xml:space="preserve">Klasa ochrony II, typ CF, odporność na defibrylację, stopień ochrony obudowy </w:t>
            </w:r>
            <w:r w:rsidR="00D75360">
              <w:rPr>
                <w:rFonts w:ascii="Calibri" w:hAnsi="Calibri" w:cs="Calibri"/>
                <w:sz w:val="20"/>
              </w:rPr>
              <w:t xml:space="preserve">mn. </w:t>
            </w:r>
            <w:r w:rsidRPr="00E24705">
              <w:rPr>
                <w:rFonts w:ascii="Calibri" w:hAnsi="Calibri" w:cs="Calibri"/>
                <w:sz w:val="20"/>
              </w:rPr>
              <w:t>IP22.</w:t>
            </w:r>
          </w:p>
        </w:tc>
        <w:tc>
          <w:tcPr>
            <w:tcW w:w="1559" w:type="dxa"/>
          </w:tcPr>
          <w:p w14:paraId="2E6F6D56" w14:textId="5839183E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03C235F1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4E3ED1F3" w14:textId="77777777" w:rsidTr="00F82FC5">
        <w:tc>
          <w:tcPr>
            <w:tcW w:w="664" w:type="dxa"/>
          </w:tcPr>
          <w:p w14:paraId="4100FADE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5DA4E326" w14:textId="1EE244E3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Zasilanie pomp mocowanych poza stacją dokującą bezpośrednio z sieci energetycznej.</w:t>
            </w:r>
          </w:p>
        </w:tc>
        <w:tc>
          <w:tcPr>
            <w:tcW w:w="1559" w:type="dxa"/>
          </w:tcPr>
          <w:p w14:paraId="19AB141B" w14:textId="2163DF96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532F077B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4B8CB306" w14:textId="77777777" w:rsidTr="00F82FC5">
        <w:tc>
          <w:tcPr>
            <w:tcW w:w="664" w:type="dxa"/>
          </w:tcPr>
          <w:p w14:paraId="5B093011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0A85DF62" w14:textId="6979754E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bCs/>
                <w:sz w:val="20"/>
              </w:rPr>
              <w:t>Czas pracy z akumulatora min. 15 h przy infuzji 25 ml/h.</w:t>
            </w:r>
          </w:p>
        </w:tc>
        <w:tc>
          <w:tcPr>
            <w:tcW w:w="1559" w:type="dxa"/>
          </w:tcPr>
          <w:p w14:paraId="4CD778F5" w14:textId="0F8547E6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01483E5A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3A25E0D8" w14:textId="77777777" w:rsidTr="00F82FC5">
        <w:tc>
          <w:tcPr>
            <w:tcW w:w="664" w:type="dxa"/>
          </w:tcPr>
          <w:p w14:paraId="6FBCCD16" w14:textId="77777777" w:rsidR="00D94851" w:rsidRPr="00F82FC5" w:rsidRDefault="00D94851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  <w:vAlign w:val="center"/>
          </w:tcPr>
          <w:p w14:paraId="3914BD7A" w14:textId="73961E0E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24705">
              <w:rPr>
                <w:rFonts w:ascii="Calibri" w:hAnsi="Calibri" w:cs="Calibri"/>
                <w:sz w:val="20"/>
              </w:rPr>
              <w:t>Czas ładowania akumulatora do 100% po pełnym rozładowaniu – do 5 h.</w:t>
            </w:r>
          </w:p>
        </w:tc>
        <w:tc>
          <w:tcPr>
            <w:tcW w:w="1559" w:type="dxa"/>
          </w:tcPr>
          <w:p w14:paraId="6BB5CE27" w14:textId="07240432" w:rsidR="00D94851" w:rsidRPr="00F82FC5" w:rsidRDefault="00D94851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38B2B065" w14:textId="77777777" w:rsidR="00D94851" w:rsidRPr="00F82FC5" w:rsidRDefault="00D94851" w:rsidP="00D9485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7506AE74" w14:textId="77777777" w:rsidTr="00F82FC5">
        <w:tc>
          <w:tcPr>
            <w:tcW w:w="664" w:type="dxa"/>
            <w:shd w:val="clear" w:color="auto" w:fill="BFBFBF" w:themeFill="background1" w:themeFillShade="BF"/>
          </w:tcPr>
          <w:p w14:paraId="4DECB012" w14:textId="77777777" w:rsidR="0042383D" w:rsidRPr="00F82FC5" w:rsidRDefault="0042383D" w:rsidP="0042383D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865" w:type="dxa"/>
            <w:shd w:val="clear" w:color="auto" w:fill="BFBFBF" w:themeFill="background1" w:themeFillShade="BF"/>
          </w:tcPr>
          <w:p w14:paraId="0C2B8CF1" w14:textId="77777777" w:rsidR="0042383D" w:rsidRPr="00F82FC5" w:rsidRDefault="0042383D" w:rsidP="0042383D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F82FC5">
              <w:rPr>
                <w:rFonts w:ascii="Calibri" w:hAnsi="Calibri" w:cs="Calibri"/>
                <w:b/>
                <w:sz w:val="20"/>
                <w:szCs w:val="20"/>
              </w:rPr>
              <w:t>Inne wymagania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DCAAA53" w14:textId="77777777" w:rsidR="0042383D" w:rsidRPr="00F82FC5" w:rsidRDefault="0042383D" w:rsidP="00F82FC5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14:paraId="62F53BDE" w14:textId="77777777" w:rsidR="0042383D" w:rsidRPr="00F82FC5" w:rsidRDefault="0042383D" w:rsidP="0042383D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E24705" w:rsidRPr="00950897" w14:paraId="62A65CF7" w14:textId="77777777" w:rsidTr="00F82FC5">
        <w:tc>
          <w:tcPr>
            <w:tcW w:w="664" w:type="dxa"/>
          </w:tcPr>
          <w:p w14:paraId="1C5F8D2E" w14:textId="77777777" w:rsidR="0042383D" w:rsidRPr="00F82FC5" w:rsidRDefault="0042383D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</w:tcPr>
          <w:p w14:paraId="18B7ED10" w14:textId="469F3DEF" w:rsidR="0042383D" w:rsidRPr="00F82FC5" w:rsidRDefault="0042383D" w:rsidP="0042383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Gwarancja</w:t>
            </w:r>
            <w:r w:rsidR="006D6D3A" w:rsidRPr="00F82FC5">
              <w:rPr>
                <w:rFonts w:ascii="Calibri" w:hAnsi="Calibri" w:cs="Calibri"/>
                <w:sz w:val="20"/>
                <w:szCs w:val="20"/>
              </w:rPr>
              <w:t>: min.</w:t>
            </w:r>
            <w:r w:rsidRPr="00F82F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1A5ADF">
              <w:rPr>
                <w:rFonts w:ascii="Calibri" w:hAnsi="Calibri" w:cs="Calibri"/>
                <w:sz w:val="20"/>
                <w:szCs w:val="20"/>
              </w:rPr>
              <w:t>36</w:t>
            </w:r>
            <w:r w:rsidR="001A5ADF" w:rsidRPr="00F82F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82FC5">
              <w:rPr>
                <w:rFonts w:ascii="Calibri" w:hAnsi="Calibri" w:cs="Calibri"/>
                <w:sz w:val="20"/>
                <w:szCs w:val="20"/>
              </w:rPr>
              <w:t>miesi</w:t>
            </w:r>
            <w:r w:rsidR="00A40878">
              <w:rPr>
                <w:rFonts w:ascii="Calibri" w:hAnsi="Calibri" w:cs="Calibri"/>
                <w:sz w:val="20"/>
                <w:szCs w:val="20"/>
              </w:rPr>
              <w:t>ę</w:t>
            </w:r>
            <w:r w:rsidRPr="00F82FC5">
              <w:rPr>
                <w:rFonts w:ascii="Calibri" w:hAnsi="Calibri" w:cs="Calibri"/>
                <w:sz w:val="20"/>
                <w:szCs w:val="20"/>
              </w:rPr>
              <w:t>c</w:t>
            </w:r>
            <w:r w:rsidR="001A5ADF">
              <w:rPr>
                <w:rFonts w:ascii="Calibri" w:hAnsi="Calibri" w:cs="Calibri"/>
                <w:sz w:val="20"/>
                <w:szCs w:val="20"/>
              </w:rPr>
              <w:t>y</w:t>
            </w:r>
          </w:p>
        </w:tc>
        <w:tc>
          <w:tcPr>
            <w:tcW w:w="1559" w:type="dxa"/>
          </w:tcPr>
          <w:p w14:paraId="630E4000" w14:textId="77777777" w:rsidR="0042383D" w:rsidRPr="00F82FC5" w:rsidRDefault="0042383D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34BA1AE4" w14:textId="77777777" w:rsidR="0042383D" w:rsidRPr="00F82FC5" w:rsidRDefault="0042383D" w:rsidP="0042383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24705" w:rsidRPr="00950897" w14:paraId="02D3C068" w14:textId="77777777" w:rsidTr="00F82FC5">
        <w:tc>
          <w:tcPr>
            <w:tcW w:w="664" w:type="dxa"/>
          </w:tcPr>
          <w:p w14:paraId="23495C27" w14:textId="77777777" w:rsidR="0042383D" w:rsidRPr="00F82FC5" w:rsidRDefault="0042383D" w:rsidP="00F82FC5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line="240" w:lineRule="auto"/>
              <w:ind w:left="1452" w:right="451" w:hanging="1276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65" w:type="dxa"/>
          </w:tcPr>
          <w:p w14:paraId="506117A3" w14:textId="3CDC9B1A" w:rsidR="0042383D" w:rsidRPr="00F82FC5" w:rsidRDefault="0042383D" w:rsidP="0042383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Szkolenie</w:t>
            </w:r>
            <w:r w:rsidR="00AE2F7F" w:rsidRPr="00F82FC5">
              <w:rPr>
                <w:rFonts w:ascii="Calibri" w:hAnsi="Calibri" w:cs="Calibri"/>
                <w:sz w:val="20"/>
                <w:szCs w:val="20"/>
              </w:rPr>
              <w:t>: 2 h, min. 4 osoby</w:t>
            </w:r>
          </w:p>
        </w:tc>
        <w:tc>
          <w:tcPr>
            <w:tcW w:w="1559" w:type="dxa"/>
          </w:tcPr>
          <w:p w14:paraId="37D4AF64" w14:textId="77777777" w:rsidR="0042383D" w:rsidRPr="00F82FC5" w:rsidRDefault="0042383D" w:rsidP="00F82FC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82FC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75596DBC" w14:textId="77777777" w:rsidR="0042383D" w:rsidRPr="00F82FC5" w:rsidRDefault="0042383D" w:rsidP="0042383D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950897" w:rsidRDefault="005119F3" w:rsidP="005119F3">
      <w:pPr>
        <w:spacing w:line="240" w:lineRule="auto"/>
        <w:jc w:val="both"/>
        <w:rPr>
          <w:rFonts w:ascii="Cambria" w:hAnsi="Cambria"/>
          <w:sz w:val="20"/>
          <w:szCs w:val="20"/>
        </w:rPr>
      </w:pPr>
    </w:p>
    <w:p w14:paraId="76B8DDAE" w14:textId="77777777" w:rsidR="005119F3" w:rsidRDefault="005119F3" w:rsidP="005119F3">
      <w:pPr>
        <w:spacing w:line="240" w:lineRule="auto"/>
        <w:jc w:val="both"/>
        <w:rPr>
          <w:rFonts w:ascii="Cambria" w:hAnsi="Cambria"/>
          <w:sz w:val="20"/>
          <w:szCs w:val="20"/>
        </w:rPr>
      </w:pPr>
    </w:p>
    <w:p w14:paraId="57B49F9B" w14:textId="77777777" w:rsidR="005119F3" w:rsidRPr="00950897" w:rsidRDefault="005119F3" w:rsidP="005119F3">
      <w:pPr>
        <w:spacing w:line="240" w:lineRule="auto"/>
        <w:jc w:val="both"/>
        <w:rPr>
          <w:rFonts w:ascii="Cambria" w:hAnsi="Cambria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9D40D6" w14:paraId="29E0B866" w14:textId="77777777" w:rsidTr="00B94B8D">
        <w:tc>
          <w:tcPr>
            <w:tcW w:w="2977" w:type="dxa"/>
          </w:tcPr>
          <w:p w14:paraId="475BDAAB" w14:textId="77777777" w:rsidR="005119F3" w:rsidRPr="009D40D6" w:rsidRDefault="005119F3" w:rsidP="00B94B8D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9D40D6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9D40D6" w:rsidRDefault="005119F3" w:rsidP="00B94B8D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</w:rPr>
              <w:t xml:space="preserve"> Oferenta</w:t>
            </w:r>
          </w:p>
        </w:tc>
      </w:tr>
    </w:tbl>
    <w:p w14:paraId="1526C911" w14:textId="77777777" w:rsidR="005119F3" w:rsidRPr="009D40D6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</w:rPr>
      </w:pPr>
    </w:p>
    <w:p w14:paraId="24C29B2A" w14:textId="77777777" w:rsidR="005119F3" w:rsidRDefault="005119F3"/>
    <w:sectPr w:rsidR="005119F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A2713" w14:textId="77777777" w:rsidR="00EC62C9" w:rsidRDefault="00EC62C9" w:rsidP="0067003B">
      <w:pPr>
        <w:spacing w:line="240" w:lineRule="auto"/>
      </w:pPr>
      <w:r>
        <w:separator/>
      </w:r>
    </w:p>
  </w:endnote>
  <w:endnote w:type="continuationSeparator" w:id="0">
    <w:p w14:paraId="2D78749A" w14:textId="77777777" w:rsidR="00EC62C9" w:rsidRDefault="00EC62C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EF199" w14:textId="77777777" w:rsidR="00EC62C9" w:rsidRDefault="00EC62C9" w:rsidP="0067003B">
      <w:pPr>
        <w:spacing w:line="240" w:lineRule="auto"/>
      </w:pPr>
      <w:r>
        <w:separator/>
      </w:r>
    </w:p>
  </w:footnote>
  <w:footnote w:type="continuationSeparator" w:id="0">
    <w:p w14:paraId="56B8AE75" w14:textId="77777777" w:rsidR="00EC62C9" w:rsidRDefault="00EC62C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9565C" w14:textId="20D1E9FE" w:rsidR="0067003B" w:rsidRDefault="00B23353" w:rsidP="0067003B">
    <w:pPr>
      <w:pStyle w:val="Nagwek"/>
    </w:pPr>
    <w:r w:rsidRPr="0019373D">
      <w:rPr>
        <w:noProof/>
      </w:rPr>
      <w:drawing>
        <wp:inline distT="0" distB="0" distL="0" distR="0" wp14:anchorId="300A7D95" wp14:editId="1D807B79">
          <wp:extent cx="5747385" cy="588010"/>
          <wp:effectExtent l="0" t="0" r="5715" b="2540"/>
          <wp:docPr id="1590766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7553C4" w14:textId="6617CFD7" w:rsidR="000A7CCD" w:rsidRPr="00605C31" w:rsidRDefault="000A7CCD" w:rsidP="000A7CCD">
    <w:pPr>
      <w:pStyle w:val="Nagwek"/>
      <w:jc w:val="right"/>
      <w:rPr>
        <w:kern w:val="0"/>
        <w:sz w:val="16"/>
        <w:szCs w:val="16"/>
        <w14:ligatures w14:val="none"/>
      </w:rPr>
    </w:pPr>
    <w:r w:rsidRPr="00605C31">
      <w:rPr>
        <w:kern w:val="0"/>
        <w:sz w:val="16"/>
        <w:szCs w:val="16"/>
        <w14:ligatures w14:val="none"/>
      </w:rPr>
      <w:t xml:space="preserve">Załącznik nr </w:t>
    </w:r>
    <w:r w:rsidR="009D7D52" w:rsidRPr="00605C31">
      <w:rPr>
        <w:kern w:val="0"/>
        <w:sz w:val="16"/>
        <w:szCs w:val="16"/>
        <w14:ligatures w14:val="none"/>
      </w:rPr>
      <w:t>1</w:t>
    </w:r>
    <w:r w:rsidRPr="00605C31">
      <w:rPr>
        <w:kern w:val="0"/>
        <w:sz w:val="16"/>
        <w:szCs w:val="16"/>
        <w14:ligatures w14:val="none"/>
      </w:rPr>
      <w:t xml:space="preserve"> do zapytania ofertowego </w:t>
    </w:r>
    <w:r w:rsidR="00A40878">
      <w:rPr>
        <w:kern w:val="0"/>
        <w:sz w:val="16"/>
        <w:szCs w:val="16"/>
        <w14:ligatures w14:val="none"/>
      </w:rPr>
      <w:t>117</w:t>
    </w:r>
    <w:r w:rsidRPr="00605C31">
      <w:rPr>
        <w:kern w:val="0"/>
        <w:sz w:val="16"/>
        <w:szCs w:val="16"/>
        <w14:ligatures w14:val="none"/>
      </w:rPr>
      <w:t>/KAHP/2026</w:t>
    </w:r>
    <w:r w:rsidR="00605C31" w:rsidRPr="00605C31">
      <w:rPr>
        <w:kern w:val="0"/>
        <w:sz w:val="16"/>
        <w:szCs w:val="16"/>
        <w14:ligatures w14:val="none"/>
      </w:rPr>
      <w:t xml:space="preserve"> </w:t>
    </w:r>
    <w:r w:rsidR="00605C31">
      <w:rPr>
        <w:kern w:val="0"/>
        <w:sz w:val="16"/>
        <w:szCs w:val="16"/>
        <w14:ligatures w14:val="none"/>
      </w:rPr>
      <w:t>/  Załącznik nr 1 do umowy</w:t>
    </w:r>
  </w:p>
  <w:p w14:paraId="4370AD60" w14:textId="77777777" w:rsidR="0067003B" w:rsidRDefault="006700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11F09"/>
    <w:multiLevelType w:val="hybridMultilevel"/>
    <w:tmpl w:val="73F87CB2"/>
    <w:lvl w:ilvl="0" w:tplc="04150005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46504"/>
    <w:multiLevelType w:val="hybridMultilevel"/>
    <w:tmpl w:val="240AD7F6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AE7C39"/>
    <w:multiLevelType w:val="hybridMultilevel"/>
    <w:tmpl w:val="D362D9E8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FC3270"/>
    <w:multiLevelType w:val="hybridMultilevel"/>
    <w:tmpl w:val="7D689A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B6402"/>
    <w:multiLevelType w:val="hybridMultilevel"/>
    <w:tmpl w:val="BF746A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D465B8"/>
    <w:multiLevelType w:val="hybridMultilevel"/>
    <w:tmpl w:val="2334D47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19952143">
    <w:abstractNumId w:val="3"/>
  </w:num>
  <w:num w:numId="2" w16cid:durableId="1826051130">
    <w:abstractNumId w:val="2"/>
  </w:num>
  <w:num w:numId="3" w16cid:durableId="166556821">
    <w:abstractNumId w:val="14"/>
  </w:num>
  <w:num w:numId="4" w16cid:durableId="433743727">
    <w:abstractNumId w:val="6"/>
  </w:num>
  <w:num w:numId="5" w16cid:durableId="1565409283">
    <w:abstractNumId w:val="10"/>
  </w:num>
  <w:num w:numId="6" w16cid:durableId="72746742">
    <w:abstractNumId w:val="13"/>
  </w:num>
  <w:num w:numId="7" w16cid:durableId="447357722">
    <w:abstractNumId w:val="0"/>
  </w:num>
  <w:num w:numId="8" w16cid:durableId="575094371">
    <w:abstractNumId w:val="11"/>
  </w:num>
  <w:num w:numId="9" w16cid:durableId="274336016">
    <w:abstractNumId w:val="9"/>
  </w:num>
  <w:num w:numId="10" w16cid:durableId="1794858984">
    <w:abstractNumId w:val="8"/>
  </w:num>
  <w:num w:numId="11" w16cid:durableId="1783259326">
    <w:abstractNumId w:val="12"/>
  </w:num>
  <w:num w:numId="12" w16cid:durableId="725640456">
    <w:abstractNumId w:val="1"/>
  </w:num>
  <w:num w:numId="13" w16cid:durableId="244999580">
    <w:abstractNumId w:val="4"/>
  </w:num>
  <w:num w:numId="14" w16cid:durableId="1561021151">
    <w:abstractNumId w:val="5"/>
  </w:num>
  <w:num w:numId="15" w16cid:durableId="18029629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352B3"/>
    <w:rsid w:val="00074E95"/>
    <w:rsid w:val="00086909"/>
    <w:rsid w:val="00095F90"/>
    <w:rsid w:val="000A7CCD"/>
    <w:rsid w:val="000E1C99"/>
    <w:rsid w:val="000F4EB8"/>
    <w:rsid w:val="00101EA0"/>
    <w:rsid w:val="0016606D"/>
    <w:rsid w:val="00183415"/>
    <w:rsid w:val="001A5ADF"/>
    <w:rsid w:val="001E2D77"/>
    <w:rsid w:val="001F2674"/>
    <w:rsid w:val="00215FA4"/>
    <w:rsid w:val="00224107"/>
    <w:rsid w:val="00227656"/>
    <w:rsid w:val="0023501F"/>
    <w:rsid w:val="00256106"/>
    <w:rsid w:val="00297EC9"/>
    <w:rsid w:val="002D6539"/>
    <w:rsid w:val="003278A2"/>
    <w:rsid w:val="003549CD"/>
    <w:rsid w:val="00391526"/>
    <w:rsid w:val="003961FE"/>
    <w:rsid w:val="00414ED1"/>
    <w:rsid w:val="0042383D"/>
    <w:rsid w:val="0043337B"/>
    <w:rsid w:val="004A6CDD"/>
    <w:rsid w:val="004D4397"/>
    <w:rsid w:val="004E1E7B"/>
    <w:rsid w:val="004E618B"/>
    <w:rsid w:val="005119F3"/>
    <w:rsid w:val="00525EDA"/>
    <w:rsid w:val="00534F05"/>
    <w:rsid w:val="00560889"/>
    <w:rsid w:val="005938B6"/>
    <w:rsid w:val="00594F2E"/>
    <w:rsid w:val="005F64AB"/>
    <w:rsid w:val="00605C31"/>
    <w:rsid w:val="0067003B"/>
    <w:rsid w:val="00673784"/>
    <w:rsid w:val="00682779"/>
    <w:rsid w:val="006B5AA9"/>
    <w:rsid w:val="006C6ED7"/>
    <w:rsid w:val="006D6D3A"/>
    <w:rsid w:val="006F6725"/>
    <w:rsid w:val="00760A2F"/>
    <w:rsid w:val="007A0B4F"/>
    <w:rsid w:val="007A2AEF"/>
    <w:rsid w:val="007A63B5"/>
    <w:rsid w:val="007D2B5C"/>
    <w:rsid w:val="007F34A8"/>
    <w:rsid w:val="00802702"/>
    <w:rsid w:val="00835900"/>
    <w:rsid w:val="00881BF1"/>
    <w:rsid w:val="008939AC"/>
    <w:rsid w:val="008B4FA0"/>
    <w:rsid w:val="008C3F43"/>
    <w:rsid w:val="00920F45"/>
    <w:rsid w:val="009447AB"/>
    <w:rsid w:val="009920F1"/>
    <w:rsid w:val="009A6620"/>
    <w:rsid w:val="009D7D52"/>
    <w:rsid w:val="009F431F"/>
    <w:rsid w:val="00A40878"/>
    <w:rsid w:val="00A4164B"/>
    <w:rsid w:val="00A618C3"/>
    <w:rsid w:val="00A729EC"/>
    <w:rsid w:val="00A85B6B"/>
    <w:rsid w:val="00AC2653"/>
    <w:rsid w:val="00AE2430"/>
    <w:rsid w:val="00AE2F7F"/>
    <w:rsid w:val="00B23353"/>
    <w:rsid w:val="00BE0CB9"/>
    <w:rsid w:val="00BF017A"/>
    <w:rsid w:val="00C0120F"/>
    <w:rsid w:val="00C0448B"/>
    <w:rsid w:val="00C174A1"/>
    <w:rsid w:val="00C41350"/>
    <w:rsid w:val="00C86F9D"/>
    <w:rsid w:val="00C90B1D"/>
    <w:rsid w:val="00CF2059"/>
    <w:rsid w:val="00D11D52"/>
    <w:rsid w:val="00D25521"/>
    <w:rsid w:val="00D542B4"/>
    <w:rsid w:val="00D548B9"/>
    <w:rsid w:val="00D75360"/>
    <w:rsid w:val="00D94851"/>
    <w:rsid w:val="00DC31B4"/>
    <w:rsid w:val="00DC708D"/>
    <w:rsid w:val="00E12110"/>
    <w:rsid w:val="00E24705"/>
    <w:rsid w:val="00E373CF"/>
    <w:rsid w:val="00EA2D2B"/>
    <w:rsid w:val="00EC62C9"/>
    <w:rsid w:val="00F47B81"/>
    <w:rsid w:val="00F82FC5"/>
    <w:rsid w:val="00F92981"/>
    <w:rsid w:val="00FB524B"/>
    <w:rsid w:val="00FD4272"/>
    <w:rsid w:val="6FFEBB55"/>
    <w:rsid w:val="7B2A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9F3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2b2f9-8e1d-4bc6-9886-6e1f27ac6589">
      <Terms xmlns="http://schemas.microsoft.com/office/infopath/2007/PartnerControls"/>
    </lcf76f155ced4ddcb4097134ff3c332f>
    <TaxCatchAll xmlns="5acfa1b7-dc3d-4686-98b4-c77bbe61f56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C4B502C428C44B3B4598CDC035064" ma:contentTypeVersion="10" ma:contentTypeDescription="Utwórz nowy dokument." ma:contentTypeScope="" ma:versionID="e92ff19ff3cfb98df280076449e5b8ec">
  <xsd:schema xmlns:xsd="http://www.w3.org/2001/XMLSchema" xmlns:xs="http://www.w3.org/2001/XMLSchema" xmlns:p="http://schemas.microsoft.com/office/2006/metadata/properties" xmlns:ns2="4a42b2f9-8e1d-4bc6-9886-6e1f27ac6589" xmlns:ns3="5acfa1b7-dc3d-4686-98b4-c77bbe61f563" targetNamespace="http://schemas.microsoft.com/office/2006/metadata/properties" ma:root="true" ma:fieldsID="2225f7dafed6e56b134410764bdbe9bc" ns2:_="" ns3:_="">
    <xsd:import namespace="4a42b2f9-8e1d-4bc6-9886-6e1f27ac6589"/>
    <xsd:import namespace="5acfa1b7-dc3d-4686-98b4-c77bbe61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2b2f9-8e1d-4bc6-9886-6e1f27ac6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a1b7-dc3d-4686-98b4-c77bbe61f5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06f882-0979-4c62-bf3d-67a00728577e}" ma:internalName="TaxCatchAll" ma:showField="CatchAllData" ma:web="5acfa1b7-dc3d-4686-98b4-c77bbe61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4B3B1-7F81-4D0F-8D24-14993D92DB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5B682-777F-4EB2-B5EA-771D0086A177}">
  <ds:schemaRefs>
    <ds:schemaRef ds:uri="http://schemas.microsoft.com/office/2006/metadata/properties"/>
    <ds:schemaRef ds:uri="http://schemas.microsoft.com/office/infopath/2007/PartnerControls"/>
    <ds:schemaRef ds:uri="4a42b2f9-8e1d-4bc6-9886-6e1f27ac6589"/>
    <ds:schemaRef ds:uri="5acfa1b7-dc3d-4686-98b4-c77bbe61f563"/>
  </ds:schemaRefs>
</ds:datastoreItem>
</file>

<file path=customXml/itemProps3.xml><?xml version="1.0" encoding="utf-8"?>
<ds:datastoreItem xmlns:ds="http://schemas.openxmlformats.org/officeDocument/2006/customXml" ds:itemID="{DE3BABD4-4B89-412A-98D9-61A5251AD7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27C20B-CFA0-4D59-8767-DC8D144E1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2b2f9-8e1d-4bc6-9886-6e1f27ac6589"/>
    <ds:schemaRef ds:uri="5acfa1b7-dc3d-4686-98b4-c77bbe61f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797</Words>
  <Characters>5093</Characters>
  <Application>Microsoft Office Word</Application>
  <DocSecurity>0</DocSecurity>
  <Lines>296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6</cp:revision>
  <dcterms:created xsi:type="dcterms:W3CDTF">2026-03-24T15:05:00Z</dcterms:created>
  <dcterms:modified xsi:type="dcterms:W3CDTF">2026-03-25T07:32:00Z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0x01010024BC4B502C428C44B3B4598CDC035064</vt:lpwstr>
  </property>
  <property fmtid="{D5CDD505-2E9C-101B-9397-08002B2CF9AE}" pid="3" name="MediaServiceImageTags">
    <vt:lpwstr/>
  </property>
</Properties>
</file>